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EB" w:rsidRPr="00481BFE" w:rsidRDefault="00F77DEB" w:rsidP="00F77DEB">
      <w:pPr>
        <w:spacing w:after="0"/>
        <w:jc w:val="center"/>
        <w:rPr>
          <w:b/>
          <w:bCs/>
          <w:sz w:val="18"/>
          <w:szCs w:val="18"/>
        </w:rPr>
      </w:pPr>
      <w:bookmarkStart w:id="0" w:name="_GoBack"/>
      <w:bookmarkEnd w:id="0"/>
      <w:r w:rsidRPr="00481BFE">
        <w:rPr>
          <w:b/>
          <w:bCs/>
          <w:sz w:val="18"/>
          <w:szCs w:val="18"/>
        </w:rPr>
        <w:t>Annexure 2</w:t>
      </w:r>
    </w:p>
    <w:p w:rsidR="00F77DEB" w:rsidRPr="00481BFE" w:rsidRDefault="00F77DEB" w:rsidP="00F77DEB">
      <w:pPr>
        <w:pStyle w:val="Header"/>
        <w:spacing w:before="0"/>
        <w:ind w:left="0" w:firstLine="0"/>
        <w:jc w:val="center"/>
        <w:rPr>
          <w:b w:val="0"/>
          <w:bCs/>
          <w:i/>
          <w:iCs/>
          <w:sz w:val="18"/>
          <w:szCs w:val="18"/>
        </w:rPr>
      </w:pPr>
      <w:r w:rsidRPr="00481BFE">
        <w:rPr>
          <w:b w:val="0"/>
          <w:bCs/>
          <w:i/>
          <w:iCs/>
          <w:sz w:val="18"/>
          <w:szCs w:val="18"/>
        </w:rPr>
        <w:t>(To Regional Oil and Chemical Pollution Contingency Plan for South Asia)</w:t>
      </w:r>
    </w:p>
    <w:p w:rsidR="00F77DEB" w:rsidRPr="00481BFE" w:rsidRDefault="00F77DEB" w:rsidP="00F77DEB">
      <w:pPr>
        <w:pStyle w:val="Header"/>
        <w:spacing w:before="0"/>
        <w:ind w:left="0" w:firstLine="0"/>
        <w:jc w:val="center"/>
        <w:rPr>
          <w:sz w:val="18"/>
          <w:szCs w:val="18"/>
        </w:rPr>
      </w:pPr>
    </w:p>
    <w:p w:rsidR="00F77DEB" w:rsidRPr="00481BFE" w:rsidRDefault="00F77DEB" w:rsidP="00F77DEB">
      <w:pPr>
        <w:pStyle w:val="Header"/>
        <w:spacing w:before="0"/>
        <w:ind w:left="0" w:firstLine="0"/>
        <w:jc w:val="center"/>
        <w:rPr>
          <w:sz w:val="18"/>
          <w:szCs w:val="18"/>
        </w:rPr>
      </w:pPr>
    </w:p>
    <w:p w:rsidR="00F77DEB" w:rsidRPr="00481BFE" w:rsidRDefault="00F77DEB" w:rsidP="00F77DEB">
      <w:pPr>
        <w:pStyle w:val="Header"/>
        <w:spacing w:before="0"/>
        <w:ind w:left="0" w:firstLine="0"/>
        <w:jc w:val="center"/>
        <w:rPr>
          <w:sz w:val="18"/>
          <w:szCs w:val="18"/>
        </w:rPr>
      </w:pPr>
    </w:p>
    <w:p w:rsidR="00F77DEB" w:rsidRDefault="00F77DEB" w:rsidP="00F77DEB">
      <w:pPr>
        <w:spacing w:after="0"/>
        <w:jc w:val="center"/>
        <w:rPr>
          <w:b/>
          <w:bCs/>
          <w:sz w:val="18"/>
          <w:szCs w:val="18"/>
        </w:rPr>
      </w:pPr>
      <w:r w:rsidRPr="00481BFE">
        <w:rPr>
          <w:b/>
          <w:bCs/>
          <w:sz w:val="18"/>
          <w:szCs w:val="18"/>
        </w:rPr>
        <w:t>NATIONAL CONTINGENCY PLANS</w:t>
      </w:r>
    </w:p>
    <w:p w:rsidR="00C4444E" w:rsidRPr="00481BFE" w:rsidRDefault="00C4444E" w:rsidP="00F77DEB">
      <w:pPr>
        <w:spacing w:after="0"/>
        <w:jc w:val="center"/>
        <w:rPr>
          <w:b/>
          <w:bCs/>
          <w:sz w:val="18"/>
          <w:szCs w:val="18"/>
        </w:rPr>
      </w:pPr>
      <w:r>
        <w:rPr>
          <w:b/>
          <w:bCs/>
          <w:sz w:val="18"/>
          <w:szCs w:val="18"/>
        </w:rPr>
        <w:t>(</w:t>
      </w:r>
      <w:proofErr w:type="gramStart"/>
      <w:r w:rsidRPr="001239E7">
        <w:rPr>
          <w:b/>
          <w:bCs/>
          <w:color w:val="FF0000"/>
          <w:sz w:val="18"/>
          <w:szCs w:val="18"/>
        </w:rPr>
        <w:t>the</w:t>
      </w:r>
      <w:proofErr w:type="gramEnd"/>
      <w:r w:rsidRPr="001239E7">
        <w:rPr>
          <w:b/>
          <w:bCs/>
          <w:color w:val="FF0000"/>
          <w:sz w:val="18"/>
          <w:szCs w:val="18"/>
        </w:rPr>
        <w:t xml:space="preserve"> Maldives do not have a National Contingency Pla</w:t>
      </w:r>
      <w:r w:rsidR="001239E7">
        <w:rPr>
          <w:b/>
          <w:bCs/>
          <w:color w:val="FF0000"/>
          <w:sz w:val="18"/>
          <w:szCs w:val="18"/>
        </w:rPr>
        <w:t>n</w:t>
      </w:r>
      <w:r w:rsidRPr="001239E7">
        <w:rPr>
          <w:b/>
          <w:bCs/>
          <w:color w:val="FF0000"/>
          <w:sz w:val="18"/>
          <w:szCs w:val="18"/>
        </w:rPr>
        <w:t>)</w:t>
      </w:r>
    </w:p>
    <w:p w:rsidR="00F77DEB" w:rsidRPr="00481BFE" w:rsidRDefault="00F77DEB" w:rsidP="00F77DEB">
      <w:pPr>
        <w:spacing w:after="0"/>
        <w:jc w:val="center"/>
        <w:rPr>
          <w:b/>
          <w:bCs/>
          <w:sz w:val="18"/>
          <w:szCs w:val="18"/>
        </w:rPr>
      </w:pPr>
      <w:r w:rsidRPr="00481BFE">
        <w:rPr>
          <w:b/>
          <w:bCs/>
          <w:sz w:val="18"/>
          <w:szCs w:val="18"/>
        </w:rPr>
        <w:t>(OR RELEVANT PARTS THEREOF)</w:t>
      </w:r>
    </w:p>
    <w:p w:rsidR="00F77DEB" w:rsidRDefault="00F77DEB" w:rsidP="003C7A38">
      <w:pPr>
        <w:pStyle w:val="Header"/>
        <w:spacing w:before="0"/>
        <w:rPr>
          <w:sz w:val="18"/>
          <w:szCs w:val="18"/>
        </w:rPr>
      </w:pPr>
    </w:p>
    <w:p w:rsidR="00F77DEB" w:rsidRDefault="00F77DEB" w:rsidP="00F77DEB">
      <w:pPr>
        <w:pStyle w:val="Header"/>
        <w:spacing w:before="0"/>
        <w:rPr>
          <w:rFonts w:ascii="Arial" w:hAnsi="Arial" w:cs="Arial"/>
          <w:sz w:val="20"/>
        </w:rPr>
      </w:pPr>
    </w:p>
    <w:p w:rsidR="00F77DEB" w:rsidRPr="00446A04" w:rsidRDefault="00F77DEB" w:rsidP="00F77DEB">
      <w:pPr>
        <w:pStyle w:val="Header"/>
        <w:spacing w:before="0"/>
        <w:rPr>
          <w:rFonts w:ascii="Arial" w:hAnsi="Arial" w:cs="Arial"/>
          <w:b w:val="0"/>
          <w:sz w:val="20"/>
        </w:rPr>
      </w:pPr>
      <w:r>
        <w:rPr>
          <w:rFonts w:ascii="Arial" w:hAnsi="Arial" w:cs="Arial"/>
          <w:sz w:val="20"/>
        </w:rPr>
        <w:t>Country:</w:t>
      </w:r>
      <w:r w:rsidRPr="00446A04">
        <w:rPr>
          <w:rFonts w:ascii="Arial" w:hAnsi="Arial" w:cs="Arial"/>
          <w:sz w:val="20"/>
        </w:rPr>
        <w:t xml:space="preserve"> </w:t>
      </w:r>
      <w:r w:rsidRPr="00446A04">
        <w:rPr>
          <w:rFonts w:ascii="Arial" w:hAnsi="Arial" w:cs="Arial"/>
          <w:b w:val="0"/>
          <w:sz w:val="20"/>
        </w:rPr>
        <w:tab/>
      </w:r>
      <w:r>
        <w:rPr>
          <w:rFonts w:ascii="Arial" w:hAnsi="Arial" w:cs="Arial"/>
          <w:b w:val="0"/>
          <w:sz w:val="20"/>
        </w:rPr>
        <w:t>Maldives</w:t>
      </w:r>
    </w:p>
    <w:p w:rsidR="00F77DEB" w:rsidRDefault="00F77DEB" w:rsidP="003C7A38">
      <w:pPr>
        <w:pStyle w:val="Header"/>
        <w:spacing w:before="0"/>
        <w:rPr>
          <w:sz w:val="18"/>
          <w:szCs w:val="18"/>
        </w:rPr>
      </w:pPr>
    </w:p>
    <w:p w:rsidR="00F77DEB" w:rsidRDefault="00F77DEB" w:rsidP="003C7A38">
      <w:pPr>
        <w:pStyle w:val="Header"/>
        <w:spacing w:before="0"/>
        <w:rPr>
          <w:sz w:val="18"/>
          <w:szCs w:val="18"/>
        </w:rPr>
      </w:pPr>
    </w:p>
    <w:p w:rsidR="0066435F" w:rsidRPr="00F77DEB" w:rsidRDefault="0066435F" w:rsidP="00C4444E">
      <w:pPr>
        <w:pStyle w:val="Header"/>
        <w:spacing w:before="0"/>
        <w:rPr>
          <w:rFonts w:asciiTheme="minorBidi" w:hAnsiTheme="minorBidi" w:cstheme="minorBidi"/>
          <w:sz w:val="18"/>
          <w:szCs w:val="18"/>
        </w:rPr>
      </w:pPr>
      <w:r w:rsidRPr="00F77DEB">
        <w:rPr>
          <w:rFonts w:asciiTheme="minorBidi" w:hAnsiTheme="minorBidi" w:cstheme="minorBidi"/>
          <w:sz w:val="18"/>
          <w:szCs w:val="18"/>
        </w:rPr>
        <w:t xml:space="preserve">SUMMARY DESCRIPTION OF THE </w:t>
      </w:r>
      <w:r w:rsidR="00C4444E">
        <w:rPr>
          <w:rFonts w:asciiTheme="minorBidi" w:hAnsiTheme="minorBidi" w:cstheme="minorBidi"/>
          <w:sz w:val="18"/>
          <w:szCs w:val="18"/>
        </w:rPr>
        <w:t>MNDF COAST GUARD</w:t>
      </w:r>
      <w:r w:rsidRPr="00F77DEB">
        <w:rPr>
          <w:rFonts w:asciiTheme="minorBidi" w:hAnsiTheme="minorBidi" w:cstheme="minorBidi"/>
          <w:sz w:val="18"/>
          <w:szCs w:val="18"/>
        </w:rPr>
        <w:t xml:space="preserve"> CONTINGENCY PLAN</w:t>
      </w:r>
    </w:p>
    <w:p w:rsidR="009A6D77" w:rsidRDefault="009A6D77" w:rsidP="009A6D77">
      <w:pPr>
        <w:pStyle w:val="Header"/>
        <w:spacing w:before="0"/>
        <w:rPr>
          <w:sz w:val="18"/>
          <w:szCs w:val="18"/>
        </w:rPr>
      </w:pPr>
    </w:p>
    <w:p w:rsidR="00F77DEB" w:rsidRDefault="00F77DEB" w:rsidP="00427CF8">
      <w:pPr>
        <w:pStyle w:val="Header"/>
        <w:spacing w:before="0"/>
        <w:rPr>
          <w:rFonts w:ascii="Arial" w:hAnsi="Arial" w:cs="Arial"/>
          <w:sz w:val="20"/>
        </w:rPr>
      </w:pPr>
    </w:p>
    <w:p w:rsidR="00427CF8" w:rsidRPr="00446A04" w:rsidRDefault="00427CF8" w:rsidP="00090486">
      <w:pPr>
        <w:pStyle w:val="Header"/>
        <w:spacing w:before="0"/>
        <w:rPr>
          <w:rFonts w:ascii="Arial" w:hAnsi="Arial" w:cs="Arial"/>
          <w:b w:val="0"/>
          <w:sz w:val="20"/>
        </w:rPr>
      </w:pPr>
      <w:r w:rsidRPr="00446A04">
        <w:rPr>
          <w:rFonts w:ascii="Arial" w:hAnsi="Arial" w:cs="Arial"/>
          <w:sz w:val="20"/>
        </w:rPr>
        <w:t xml:space="preserve">Title </w:t>
      </w:r>
      <w:r w:rsidRPr="00446A04">
        <w:rPr>
          <w:rFonts w:ascii="Arial" w:hAnsi="Arial" w:cs="Arial"/>
          <w:b w:val="0"/>
          <w:sz w:val="20"/>
        </w:rPr>
        <w:tab/>
      </w:r>
      <w:r w:rsidR="00090486">
        <w:rPr>
          <w:rFonts w:ascii="Arial" w:hAnsi="Arial" w:cs="Arial"/>
          <w:b w:val="0"/>
          <w:sz w:val="20"/>
        </w:rPr>
        <w:t>MNDF Coast Guard Marine Oil Pollution Contingency Plan</w:t>
      </w:r>
    </w:p>
    <w:tbl>
      <w:tblPr>
        <w:tblW w:w="0" w:type="auto"/>
        <w:tblLook w:val="0000" w:firstRow="0" w:lastRow="0" w:firstColumn="0" w:lastColumn="0" w:noHBand="0" w:noVBand="0"/>
      </w:tblPr>
      <w:tblGrid>
        <w:gridCol w:w="3218"/>
        <w:gridCol w:w="6358"/>
      </w:tblGrid>
      <w:tr w:rsidR="00427CF8" w:rsidRPr="00446A04" w:rsidTr="005607C0">
        <w:tc>
          <w:tcPr>
            <w:tcW w:w="3227" w:type="dxa"/>
          </w:tcPr>
          <w:p w:rsidR="00427CF8" w:rsidRDefault="00427CF8" w:rsidP="005607C0">
            <w:pPr>
              <w:spacing w:after="0"/>
              <w:rPr>
                <w:rFonts w:ascii="Arial" w:hAnsi="Arial" w:cs="Arial"/>
                <w:b/>
                <w:bCs/>
                <w:sz w:val="20"/>
                <w:szCs w:val="20"/>
              </w:rPr>
            </w:pPr>
          </w:p>
          <w:p w:rsidR="00427CF8" w:rsidRPr="00446A04" w:rsidRDefault="00427CF8" w:rsidP="005607C0">
            <w:pPr>
              <w:spacing w:after="0"/>
              <w:rPr>
                <w:rFonts w:ascii="Arial" w:hAnsi="Arial" w:cs="Arial"/>
                <w:b/>
                <w:bCs/>
                <w:sz w:val="20"/>
                <w:szCs w:val="20"/>
              </w:rPr>
            </w:pPr>
            <w:r w:rsidRPr="00446A04">
              <w:rPr>
                <w:rFonts w:ascii="Arial" w:hAnsi="Arial" w:cs="Arial"/>
                <w:b/>
                <w:bCs/>
                <w:sz w:val="20"/>
                <w:szCs w:val="20"/>
              </w:rPr>
              <w:t>Prepared:</w:t>
            </w:r>
          </w:p>
        </w:tc>
        <w:tc>
          <w:tcPr>
            <w:tcW w:w="6381" w:type="dxa"/>
          </w:tcPr>
          <w:p w:rsidR="00427CF8" w:rsidRDefault="00427CF8" w:rsidP="005607C0">
            <w:pPr>
              <w:spacing w:after="0"/>
              <w:rPr>
                <w:rFonts w:ascii="Arial" w:hAnsi="Arial" w:cs="Arial"/>
                <w:sz w:val="20"/>
                <w:szCs w:val="20"/>
              </w:rPr>
            </w:pPr>
          </w:p>
          <w:p w:rsidR="00427CF8" w:rsidRPr="00446A04" w:rsidRDefault="00090486" w:rsidP="005607C0">
            <w:pPr>
              <w:spacing w:after="0"/>
              <w:rPr>
                <w:rFonts w:ascii="Arial" w:hAnsi="Arial" w:cs="Arial"/>
                <w:sz w:val="20"/>
                <w:szCs w:val="20"/>
              </w:rPr>
            </w:pPr>
            <w:r>
              <w:rPr>
                <w:rFonts w:ascii="Arial" w:hAnsi="Arial" w:cs="Arial"/>
                <w:sz w:val="20"/>
                <w:szCs w:val="20"/>
              </w:rPr>
              <w:t>MNDF Coast Guard</w:t>
            </w:r>
            <w:r w:rsidR="00427CF8" w:rsidRPr="00446A04">
              <w:rPr>
                <w:rFonts w:ascii="Arial" w:hAnsi="Arial" w:cs="Arial"/>
                <w:sz w:val="20"/>
                <w:szCs w:val="20"/>
              </w:rPr>
              <w:t xml:space="preserve"> </w:t>
            </w:r>
          </w:p>
        </w:tc>
      </w:tr>
      <w:tr w:rsidR="00427CF8" w:rsidRPr="00446A04" w:rsidTr="005607C0">
        <w:tc>
          <w:tcPr>
            <w:tcW w:w="3227" w:type="dxa"/>
          </w:tcPr>
          <w:p w:rsidR="00427CF8" w:rsidRDefault="00427CF8" w:rsidP="005607C0">
            <w:pPr>
              <w:spacing w:after="0"/>
              <w:rPr>
                <w:rFonts w:ascii="Arial" w:hAnsi="Arial" w:cs="Arial"/>
                <w:b/>
                <w:bCs/>
                <w:sz w:val="20"/>
                <w:szCs w:val="20"/>
              </w:rPr>
            </w:pPr>
          </w:p>
          <w:p w:rsidR="00427CF8" w:rsidRPr="00446A04" w:rsidRDefault="00427CF8" w:rsidP="005607C0">
            <w:pPr>
              <w:spacing w:after="0"/>
              <w:rPr>
                <w:rFonts w:ascii="Arial" w:hAnsi="Arial" w:cs="Arial"/>
                <w:b/>
                <w:bCs/>
                <w:sz w:val="20"/>
                <w:szCs w:val="20"/>
              </w:rPr>
            </w:pPr>
            <w:r w:rsidRPr="00446A04">
              <w:rPr>
                <w:rFonts w:ascii="Arial" w:hAnsi="Arial" w:cs="Arial"/>
                <w:b/>
                <w:bCs/>
                <w:sz w:val="20"/>
                <w:szCs w:val="20"/>
              </w:rPr>
              <w:t>Became Effective (year):</w:t>
            </w:r>
          </w:p>
        </w:tc>
        <w:tc>
          <w:tcPr>
            <w:tcW w:w="6381" w:type="dxa"/>
          </w:tcPr>
          <w:p w:rsidR="00427CF8" w:rsidRDefault="00427CF8" w:rsidP="005607C0">
            <w:pPr>
              <w:spacing w:after="0"/>
              <w:rPr>
                <w:rFonts w:ascii="Arial" w:hAnsi="Arial" w:cs="Arial"/>
                <w:sz w:val="20"/>
                <w:szCs w:val="20"/>
              </w:rPr>
            </w:pPr>
          </w:p>
          <w:p w:rsidR="00427CF8" w:rsidRPr="00446A04" w:rsidRDefault="00090486" w:rsidP="005607C0">
            <w:pPr>
              <w:spacing w:after="0"/>
              <w:rPr>
                <w:rFonts w:ascii="Arial" w:hAnsi="Arial" w:cs="Arial"/>
                <w:sz w:val="20"/>
                <w:szCs w:val="20"/>
              </w:rPr>
            </w:pPr>
            <w:r>
              <w:rPr>
                <w:rFonts w:ascii="Arial" w:hAnsi="Arial" w:cs="Arial"/>
                <w:sz w:val="20"/>
                <w:szCs w:val="20"/>
              </w:rPr>
              <w:t>2015</w:t>
            </w:r>
          </w:p>
        </w:tc>
      </w:tr>
    </w:tbl>
    <w:p w:rsidR="00EC2278" w:rsidRDefault="00EC2278" w:rsidP="00EC2278">
      <w:pPr>
        <w:widowControl w:val="0"/>
        <w:jc w:val="both"/>
        <w:rPr>
          <w:rFonts w:ascii="Arial" w:hAnsi="Arial" w:cs="Arial"/>
          <w:b/>
          <w:sz w:val="20"/>
          <w:szCs w:val="20"/>
        </w:rPr>
      </w:pPr>
    </w:p>
    <w:p w:rsidR="00EC2278" w:rsidRPr="00446A04" w:rsidRDefault="00EC2278" w:rsidP="00090486">
      <w:pPr>
        <w:widowControl w:val="0"/>
        <w:ind w:left="1440" w:hanging="1440"/>
        <w:jc w:val="both"/>
        <w:rPr>
          <w:rFonts w:ascii="Arial" w:hAnsi="Arial" w:cs="Arial"/>
          <w:b/>
          <w:sz w:val="20"/>
          <w:szCs w:val="20"/>
        </w:rPr>
      </w:pPr>
      <w:r w:rsidRPr="00446A04">
        <w:rPr>
          <w:rFonts w:ascii="Arial" w:hAnsi="Arial" w:cs="Arial"/>
          <w:b/>
          <w:sz w:val="20"/>
          <w:szCs w:val="20"/>
        </w:rPr>
        <w:t>SCOPE</w:t>
      </w:r>
      <w:r w:rsidRPr="00446A04">
        <w:rPr>
          <w:rFonts w:ascii="Arial" w:eastAsia="Times New Roman" w:hAnsi="Arial" w:cs="Arial"/>
          <w:sz w:val="20"/>
          <w:szCs w:val="20"/>
        </w:rPr>
        <w:t>.</w:t>
      </w:r>
      <w:r w:rsidRPr="00446A04">
        <w:rPr>
          <w:rFonts w:ascii="Arial" w:eastAsia="Times New Roman" w:hAnsi="Arial" w:cs="Arial"/>
          <w:sz w:val="20"/>
          <w:szCs w:val="20"/>
        </w:rPr>
        <w:tab/>
      </w:r>
      <w:r w:rsidR="00090486">
        <w:rPr>
          <w:rFonts w:ascii="Arial" w:eastAsia="Times New Roman" w:hAnsi="Arial" w:cs="Arial"/>
          <w:bCs/>
          <w:sz w:val="20"/>
          <w:szCs w:val="20"/>
        </w:rPr>
        <w:t>This MOPCP applies to all MNDF Coast Guard units and personnel and to any MNDF Coast Guard auxiliary units and personnel; and all personnel (civil or military) attached to the Coast Guard unknit in the event this MOPCP is executed. This MOPCP shall be applied to the following nature of oil spills.</w:t>
      </w:r>
      <w:r w:rsidRPr="00446A04">
        <w:rPr>
          <w:rFonts w:ascii="Arial" w:eastAsia="Times New Roman" w:hAnsi="Arial" w:cs="Arial"/>
          <w:sz w:val="20"/>
          <w:szCs w:val="20"/>
        </w:rPr>
        <w:t xml:space="preserve">  </w:t>
      </w:r>
    </w:p>
    <w:tbl>
      <w:tblPr>
        <w:tblW w:w="0" w:type="auto"/>
        <w:tblLook w:val="0000" w:firstRow="0" w:lastRow="0" w:firstColumn="0" w:lastColumn="0" w:noHBand="0" w:noVBand="0"/>
      </w:tblPr>
      <w:tblGrid>
        <w:gridCol w:w="3161"/>
        <w:gridCol w:w="6199"/>
      </w:tblGrid>
      <w:tr w:rsidR="000777B6" w:rsidRPr="00481BFE" w:rsidTr="00090486">
        <w:tc>
          <w:tcPr>
            <w:tcW w:w="3161" w:type="dxa"/>
          </w:tcPr>
          <w:p w:rsidR="000777B6" w:rsidRDefault="000777B6" w:rsidP="005607C0">
            <w:pPr>
              <w:spacing w:after="0"/>
              <w:rPr>
                <w:rFonts w:ascii="Arial" w:hAnsi="Arial" w:cs="Arial"/>
                <w:b/>
                <w:bCs/>
                <w:sz w:val="20"/>
                <w:szCs w:val="20"/>
              </w:rPr>
            </w:pPr>
          </w:p>
          <w:p w:rsidR="000777B6" w:rsidRPr="00446A04" w:rsidRDefault="000777B6" w:rsidP="005607C0">
            <w:pPr>
              <w:spacing w:after="0"/>
              <w:rPr>
                <w:rFonts w:ascii="Arial" w:hAnsi="Arial" w:cs="Arial"/>
                <w:b/>
                <w:bCs/>
                <w:sz w:val="20"/>
                <w:szCs w:val="20"/>
              </w:rPr>
            </w:pPr>
            <w:r w:rsidRPr="00446A04">
              <w:rPr>
                <w:rFonts w:ascii="Arial" w:hAnsi="Arial" w:cs="Arial"/>
                <w:b/>
                <w:bCs/>
                <w:sz w:val="20"/>
                <w:szCs w:val="20"/>
              </w:rPr>
              <w:t>Applicable to Pollution by:</w:t>
            </w:r>
          </w:p>
        </w:tc>
        <w:tc>
          <w:tcPr>
            <w:tcW w:w="6199" w:type="dxa"/>
          </w:tcPr>
          <w:p w:rsidR="000777B6" w:rsidRDefault="00090486" w:rsidP="005607C0">
            <w:pPr>
              <w:spacing w:before="120" w:after="0" w:line="240" w:lineRule="auto"/>
              <w:jc w:val="both"/>
              <w:rPr>
                <w:rFonts w:ascii="Arial" w:eastAsia="Times New Roman" w:hAnsi="Arial" w:cs="Arial"/>
                <w:bCs/>
                <w:sz w:val="20"/>
                <w:szCs w:val="20"/>
              </w:rPr>
            </w:pPr>
            <w:r>
              <w:rPr>
                <w:rFonts w:ascii="Arial" w:eastAsia="Times New Roman" w:hAnsi="Arial" w:cs="Arial"/>
                <w:bCs/>
                <w:sz w:val="20"/>
                <w:szCs w:val="20"/>
              </w:rPr>
              <w:t>Oil spills of more than 20 liters</w:t>
            </w:r>
          </w:p>
          <w:p w:rsidR="00090486" w:rsidRPr="00446A04" w:rsidRDefault="00090486" w:rsidP="005607C0">
            <w:pPr>
              <w:spacing w:before="120" w:after="0" w:line="240" w:lineRule="auto"/>
              <w:jc w:val="both"/>
              <w:rPr>
                <w:rFonts w:ascii="Arial" w:hAnsi="Arial" w:cs="Arial"/>
                <w:sz w:val="20"/>
                <w:szCs w:val="20"/>
              </w:rPr>
            </w:pPr>
            <w:r>
              <w:rPr>
                <w:rFonts w:ascii="Arial" w:eastAsia="Times New Roman" w:hAnsi="Arial" w:cs="Arial"/>
                <w:bCs/>
                <w:sz w:val="20"/>
                <w:szCs w:val="20"/>
              </w:rPr>
              <w:t>Spills that do not include light volatile products or condensates.</w:t>
            </w:r>
          </w:p>
        </w:tc>
      </w:tr>
      <w:tr w:rsidR="000777B6" w:rsidRPr="00481BFE" w:rsidTr="00090486">
        <w:tc>
          <w:tcPr>
            <w:tcW w:w="3161" w:type="dxa"/>
          </w:tcPr>
          <w:p w:rsidR="000777B6" w:rsidRDefault="000777B6" w:rsidP="005607C0">
            <w:pPr>
              <w:spacing w:after="0"/>
              <w:rPr>
                <w:rFonts w:ascii="Arial" w:hAnsi="Arial" w:cs="Arial"/>
                <w:b/>
                <w:bCs/>
                <w:sz w:val="20"/>
                <w:szCs w:val="20"/>
              </w:rPr>
            </w:pPr>
          </w:p>
          <w:p w:rsidR="000777B6" w:rsidRPr="00446A04" w:rsidRDefault="000777B6" w:rsidP="005607C0">
            <w:pPr>
              <w:spacing w:after="0"/>
              <w:rPr>
                <w:rFonts w:ascii="Arial" w:hAnsi="Arial" w:cs="Arial"/>
                <w:b/>
                <w:bCs/>
                <w:sz w:val="20"/>
                <w:szCs w:val="20"/>
              </w:rPr>
            </w:pPr>
            <w:r w:rsidRPr="00446A04">
              <w:rPr>
                <w:rFonts w:ascii="Arial" w:hAnsi="Arial" w:cs="Arial"/>
                <w:b/>
                <w:bCs/>
                <w:sz w:val="20"/>
                <w:szCs w:val="20"/>
              </w:rPr>
              <w:t>Levels of Emergency:</w:t>
            </w:r>
          </w:p>
        </w:tc>
        <w:tc>
          <w:tcPr>
            <w:tcW w:w="6199" w:type="dxa"/>
          </w:tcPr>
          <w:p w:rsidR="000777B6" w:rsidRDefault="000777B6" w:rsidP="005607C0">
            <w:pPr>
              <w:spacing w:after="0"/>
              <w:rPr>
                <w:rFonts w:ascii="Arial" w:hAnsi="Arial" w:cs="Arial"/>
                <w:sz w:val="20"/>
                <w:szCs w:val="20"/>
              </w:rPr>
            </w:pPr>
          </w:p>
          <w:p w:rsidR="000777B6" w:rsidRPr="00FD1C09" w:rsidRDefault="000777B6" w:rsidP="00613D2A">
            <w:pPr>
              <w:jc w:val="both"/>
              <w:rPr>
                <w:rFonts w:cs="Arial"/>
              </w:rPr>
            </w:pPr>
            <w:r w:rsidRPr="00FD1C09">
              <w:rPr>
                <w:rFonts w:cs="Arial"/>
                <w:b/>
                <w:u w:val="single"/>
              </w:rPr>
              <w:t>TIER I.</w:t>
            </w:r>
            <w:r w:rsidRPr="00FD1C09">
              <w:rPr>
                <w:rFonts w:cs="Arial"/>
              </w:rPr>
              <w:tab/>
              <w:t xml:space="preserve">    </w:t>
            </w:r>
            <w:r w:rsidR="00613D2A">
              <w:rPr>
                <w:rFonts w:cs="Arial"/>
              </w:rPr>
              <w:t>Small operational spills that can be dealt with immediately utilizing local resources.</w:t>
            </w:r>
          </w:p>
          <w:p w:rsidR="000777B6" w:rsidRPr="00FD1C09" w:rsidRDefault="000777B6" w:rsidP="00613D2A">
            <w:pPr>
              <w:jc w:val="both"/>
              <w:rPr>
                <w:rFonts w:cs="Arial"/>
              </w:rPr>
            </w:pPr>
            <w:r w:rsidRPr="00FD1C09">
              <w:rPr>
                <w:rFonts w:cs="Arial"/>
                <w:b/>
                <w:bCs/>
                <w:u w:val="single"/>
              </w:rPr>
              <w:t>TIER 2.</w:t>
            </w:r>
            <w:r w:rsidRPr="00FD1C09">
              <w:rPr>
                <w:rFonts w:cs="Arial"/>
                <w:b/>
                <w:bCs/>
              </w:rPr>
              <w:tab/>
              <w:t xml:space="preserve">    </w:t>
            </w:r>
            <w:r w:rsidR="00613D2A">
              <w:rPr>
                <w:rFonts w:cs="Arial"/>
              </w:rPr>
              <w:t xml:space="preserve">Medium sized spills, which will be handled; by Area command personnel and nominated MOP response contractor other external assistance and resources available in the sources area. Tier Two MOP response shall be guided by the MNDF JOC, but conducted by the CG Squadron. For the purpose of this MOPCP, Tier two MOP refers to spills </w:t>
            </w:r>
            <w:proofErr w:type="spellStart"/>
            <w:r w:rsidR="00613D2A">
              <w:rPr>
                <w:rFonts w:cs="Arial"/>
              </w:rPr>
              <w:t>upto</w:t>
            </w:r>
            <w:proofErr w:type="spellEnd"/>
            <w:r w:rsidR="00613D2A">
              <w:rPr>
                <w:rFonts w:cs="Arial"/>
              </w:rPr>
              <w:t xml:space="preserve"> 1000 liters of diesel/marine gas oil.</w:t>
            </w:r>
          </w:p>
          <w:p w:rsidR="000777B6" w:rsidRPr="00FD1C09" w:rsidRDefault="000777B6" w:rsidP="00613D2A">
            <w:pPr>
              <w:jc w:val="both"/>
              <w:rPr>
                <w:rFonts w:cs="Arial"/>
              </w:rPr>
            </w:pPr>
            <w:r w:rsidRPr="00FD1C09">
              <w:rPr>
                <w:rFonts w:cs="Arial"/>
                <w:b/>
                <w:bCs/>
                <w:u w:val="single"/>
              </w:rPr>
              <w:t>TIER 3.</w:t>
            </w:r>
            <w:r w:rsidRPr="00FD1C09">
              <w:rPr>
                <w:rFonts w:cs="Arial"/>
              </w:rPr>
              <w:tab/>
              <w:t xml:space="preserve">    </w:t>
            </w:r>
            <w:r w:rsidR="00613D2A">
              <w:rPr>
                <w:rFonts w:cs="Arial"/>
              </w:rPr>
              <w:t xml:space="preserve">Large marine spills or serious failure of containment, which will require full involvement of other authorities and possible mobilization of national stockpiles and resources. If the spill is beyond the containment capability of national resources or expertise, international assistance in MOP response shall be recommended. Tier Three MOP response operations shall be conducted by the MNDF JOC and shall follow the National Marine </w:t>
            </w:r>
            <w:r w:rsidR="00613D2A">
              <w:rPr>
                <w:rFonts w:cs="Arial"/>
              </w:rPr>
              <w:lastRenderedPageBreak/>
              <w:t>Oil Pollution Contingency Plan. For the purpose this MOPCP, Tier Three MOP refers to spills of over 1000 liters of diesel/marine gas oil.</w:t>
            </w:r>
          </w:p>
          <w:p w:rsidR="000777B6" w:rsidRPr="00446A04" w:rsidRDefault="000777B6" w:rsidP="005607C0">
            <w:pPr>
              <w:spacing w:after="0"/>
              <w:rPr>
                <w:rFonts w:ascii="Arial" w:hAnsi="Arial" w:cs="Arial"/>
                <w:sz w:val="20"/>
                <w:szCs w:val="20"/>
              </w:rPr>
            </w:pPr>
          </w:p>
        </w:tc>
      </w:tr>
    </w:tbl>
    <w:p w:rsidR="000777B6" w:rsidRDefault="000777B6" w:rsidP="003C7A38">
      <w:pPr>
        <w:pStyle w:val="Header"/>
        <w:spacing w:before="0"/>
        <w:rPr>
          <w:sz w:val="18"/>
          <w:szCs w:val="18"/>
        </w:rPr>
      </w:pPr>
    </w:p>
    <w:p w:rsidR="00C368E7" w:rsidRPr="00446A04" w:rsidRDefault="00C368E7" w:rsidP="00C368E7">
      <w:pPr>
        <w:pStyle w:val="Header"/>
        <w:spacing w:before="0"/>
        <w:rPr>
          <w:rFonts w:ascii="Arial" w:hAnsi="Arial" w:cs="Arial"/>
          <w:sz w:val="20"/>
        </w:rPr>
      </w:pPr>
      <w:r w:rsidRPr="00446A04">
        <w:rPr>
          <w:rFonts w:ascii="Arial" w:hAnsi="Arial" w:cs="Arial"/>
          <w:sz w:val="20"/>
        </w:rPr>
        <w:t>RESPONSIBILITIES</w:t>
      </w:r>
    </w:p>
    <w:p w:rsidR="00C368E7" w:rsidRPr="00446A04" w:rsidRDefault="00C368E7" w:rsidP="00C368E7">
      <w:pPr>
        <w:pStyle w:val="Footer"/>
        <w:tabs>
          <w:tab w:val="clear" w:pos="4153"/>
          <w:tab w:val="clear" w:pos="8306"/>
        </w:tabs>
        <w:rPr>
          <w:rFonts w:ascii="Arial" w:hAnsi="Arial" w:cs="Arial"/>
          <w:sz w:val="20"/>
        </w:rPr>
      </w:pPr>
    </w:p>
    <w:p w:rsidR="00C368E7" w:rsidRPr="00446A04" w:rsidRDefault="00C368E7" w:rsidP="00BC6178">
      <w:pPr>
        <w:pStyle w:val="TxBrp24"/>
        <w:snapToGrid/>
        <w:spacing w:before="240" w:line="240" w:lineRule="auto"/>
        <w:ind w:left="720"/>
        <w:rPr>
          <w:rFonts w:ascii="Arial" w:hAnsi="Arial" w:cs="Arial"/>
          <w:iCs/>
          <w:sz w:val="20"/>
        </w:rPr>
      </w:pPr>
      <w:r w:rsidRPr="00446A04">
        <w:rPr>
          <w:rFonts w:ascii="Arial" w:hAnsi="Arial" w:cs="Arial"/>
          <w:iCs/>
          <w:sz w:val="20"/>
        </w:rPr>
        <w:t>a.</w:t>
      </w:r>
      <w:r w:rsidRPr="00446A04">
        <w:rPr>
          <w:rFonts w:ascii="Arial" w:hAnsi="Arial" w:cs="Arial"/>
          <w:iCs/>
          <w:sz w:val="20"/>
        </w:rPr>
        <w:tab/>
      </w:r>
      <w:r w:rsidR="00BC6178" w:rsidRPr="00BC6178">
        <w:rPr>
          <w:rFonts w:ascii="Arial" w:hAnsi="Arial" w:cs="Arial"/>
          <w:b/>
          <w:bCs/>
          <w:iCs/>
          <w:sz w:val="20"/>
        </w:rPr>
        <w:t xml:space="preserve">Coast Guard Squadron Commander </w:t>
      </w:r>
      <w:r w:rsidR="00BC6178">
        <w:rPr>
          <w:rFonts w:ascii="Arial" w:hAnsi="Arial" w:cs="Arial"/>
          <w:iCs/>
          <w:sz w:val="20"/>
        </w:rPr>
        <w:t>shall be responsible to act as commander for a MOP response in any maritime are under their specific area commands with the guidance of the Area Commander in the event of an oil spill. The CG Squadron Commander shall activate this MOPCP in the event of an MOP incident.</w:t>
      </w:r>
    </w:p>
    <w:p w:rsidR="00C368E7" w:rsidRPr="00446A04" w:rsidRDefault="00C368E7" w:rsidP="00BC6178">
      <w:pPr>
        <w:pStyle w:val="TxBrp24"/>
        <w:snapToGrid/>
        <w:spacing w:before="240" w:line="240" w:lineRule="auto"/>
        <w:ind w:left="720"/>
        <w:rPr>
          <w:rFonts w:ascii="Arial" w:hAnsi="Arial" w:cs="Arial"/>
          <w:iCs/>
          <w:sz w:val="20"/>
        </w:rPr>
      </w:pPr>
      <w:r w:rsidRPr="00446A04">
        <w:rPr>
          <w:rFonts w:ascii="Arial" w:hAnsi="Arial" w:cs="Arial"/>
          <w:iCs/>
          <w:sz w:val="20"/>
        </w:rPr>
        <w:t>b.</w:t>
      </w:r>
      <w:r w:rsidRPr="00446A04">
        <w:rPr>
          <w:rFonts w:ascii="Arial" w:hAnsi="Arial" w:cs="Arial"/>
          <w:iCs/>
          <w:sz w:val="20"/>
        </w:rPr>
        <w:tab/>
      </w:r>
      <w:r w:rsidR="00BC6178" w:rsidRPr="00764E53">
        <w:rPr>
          <w:rFonts w:ascii="Arial" w:hAnsi="Arial" w:cs="Arial"/>
          <w:b/>
          <w:bCs/>
          <w:iCs/>
          <w:sz w:val="20"/>
        </w:rPr>
        <w:t xml:space="preserve">On Scene Commander </w:t>
      </w:r>
      <w:r w:rsidR="00BC6178">
        <w:rPr>
          <w:rFonts w:ascii="Arial" w:hAnsi="Arial" w:cs="Arial"/>
          <w:iCs/>
          <w:sz w:val="20"/>
        </w:rPr>
        <w:t>shall be subordinate to the CG Squadron Commander, and shall be responsible for the assessment, containment and recovery of the spilt oil in accordance with the MOPCP. The</w:t>
      </w:r>
      <w:r w:rsidR="00764E53">
        <w:rPr>
          <w:rFonts w:ascii="Arial" w:hAnsi="Arial" w:cs="Arial"/>
          <w:iCs/>
          <w:sz w:val="20"/>
        </w:rPr>
        <w:t xml:space="preserve"> OSC shall advice the CG Squadron Commander in any change of events and effective solutions to overcome response compilations.</w:t>
      </w:r>
    </w:p>
    <w:p w:rsidR="00C368E7" w:rsidRDefault="00C368E7" w:rsidP="00764E53">
      <w:pPr>
        <w:pStyle w:val="TxBrp24"/>
        <w:snapToGrid/>
        <w:spacing w:before="240" w:line="240" w:lineRule="auto"/>
        <w:ind w:left="720"/>
        <w:rPr>
          <w:sz w:val="18"/>
          <w:szCs w:val="18"/>
        </w:rPr>
      </w:pPr>
      <w:r w:rsidRPr="00446A04">
        <w:rPr>
          <w:rFonts w:ascii="Arial" w:hAnsi="Arial" w:cs="Arial"/>
          <w:iCs/>
          <w:sz w:val="20"/>
        </w:rPr>
        <w:t>c.</w:t>
      </w:r>
      <w:r w:rsidRPr="00446A04">
        <w:rPr>
          <w:rFonts w:ascii="Arial" w:hAnsi="Arial" w:cs="Arial"/>
          <w:iCs/>
          <w:sz w:val="20"/>
        </w:rPr>
        <w:tab/>
      </w:r>
      <w:r w:rsidR="00764E53" w:rsidRPr="00764E53">
        <w:rPr>
          <w:rFonts w:ascii="Arial" w:hAnsi="Arial" w:cs="Arial"/>
          <w:b/>
          <w:bCs/>
          <w:iCs/>
          <w:sz w:val="20"/>
        </w:rPr>
        <w:t xml:space="preserve">Marine Pollution Response Team Leader </w:t>
      </w:r>
      <w:r w:rsidR="00764E53">
        <w:rPr>
          <w:rFonts w:ascii="Arial" w:hAnsi="Arial" w:cs="Arial"/>
          <w:iCs/>
          <w:sz w:val="20"/>
        </w:rPr>
        <w:t>is the senior most technical expertise in the field of MOP response present in the area command. The MPRT leader shall provide his skill, expertise and knowledge to the OSC in evaluation the MOP response effort from the initial stage to the final recover stage.</w:t>
      </w:r>
    </w:p>
    <w:tbl>
      <w:tblPr>
        <w:tblW w:w="0" w:type="auto"/>
        <w:tblLook w:val="0000" w:firstRow="0" w:lastRow="0" w:firstColumn="0" w:lastColumn="0" w:noHBand="0" w:noVBand="0"/>
      </w:tblPr>
      <w:tblGrid>
        <w:gridCol w:w="9138"/>
        <w:gridCol w:w="222"/>
      </w:tblGrid>
      <w:tr w:rsidR="0066435F" w:rsidRPr="00481BFE" w:rsidTr="00764E53">
        <w:trPr>
          <w:cantSplit/>
          <w:trHeight w:val="1134"/>
        </w:trPr>
        <w:tc>
          <w:tcPr>
            <w:tcW w:w="9138" w:type="dxa"/>
          </w:tcPr>
          <w:p w:rsidR="0066435F" w:rsidRPr="00481BFE" w:rsidRDefault="00AB51ED" w:rsidP="00764E53">
            <w:pPr>
              <w:pStyle w:val="Header"/>
              <w:spacing w:before="0"/>
              <w:rPr>
                <w:b w:val="0"/>
                <w:bCs/>
                <w:sz w:val="18"/>
                <w:szCs w:val="18"/>
              </w:rPr>
            </w:pPr>
            <w:r>
              <w:rPr>
                <w:rFonts w:ascii="Arial" w:hAnsi="Arial" w:cs="Arial"/>
                <w:sz w:val="20"/>
              </w:rPr>
              <w:t xml:space="preserve"> </w:t>
            </w:r>
          </w:p>
        </w:tc>
        <w:tc>
          <w:tcPr>
            <w:tcW w:w="222" w:type="dxa"/>
          </w:tcPr>
          <w:p w:rsidR="0066435F" w:rsidRPr="00481BFE" w:rsidRDefault="0066435F" w:rsidP="003C7A38">
            <w:pPr>
              <w:spacing w:after="0"/>
              <w:rPr>
                <w:sz w:val="18"/>
                <w:szCs w:val="18"/>
              </w:rPr>
            </w:pPr>
          </w:p>
        </w:tc>
      </w:tr>
      <w:tr w:rsidR="0066435F" w:rsidRPr="00481BFE" w:rsidTr="00764E53">
        <w:trPr>
          <w:cantSplit/>
        </w:trPr>
        <w:tc>
          <w:tcPr>
            <w:tcW w:w="9138" w:type="dxa"/>
          </w:tcPr>
          <w:p w:rsidR="0066435F" w:rsidRPr="00481BFE" w:rsidRDefault="0066435F" w:rsidP="003C7A38">
            <w:pPr>
              <w:spacing w:after="0"/>
              <w:rPr>
                <w:b/>
                <w:bCs/>
                <w:sz w:val="18"/>
                <w:szCs w:val="18"/>
              </w:rPr>
            </w:pPr>
          </w:p>
        </w:tc>
        <w:tc>
          <w:tcPr>
            <w:tcW w:w="222" w:type="dxa"/>
          </w:tcPr>
          <w:p w:rsidR="0066435F" w:rsidRPr="00481BFE" w:rsidRDefault="0066435F" w:rsidP="003C7A38">
            <w:pPr>
              <w:spacing w:after="0"/>
              <w:rPr>
                <w:sz w:val="18"/>
                <w:szCs w:val="18"/>
              </w:rPr>
            </w:pPr>
          </w:p>
        </w:tc>
      </w:tr>
      <w:tr w:rsidR="0066435F" w:rsidRPr="00481BFE" w:rsidTr="00764E53">
        <w:trPr>
          <w:cantSplit/>
          <w:trHeight w:val="1134"/>
        </w:trPr>
        <w:tc>
          <w:tcPr>
            <w:tcW w:w="9138" w:type="dxa"/>
          </w:tcPr>
          <w:p w:rsidR="00E071BF" w:rsidRPr="00446A04" w:rsidRDefault="00EA175A" w:rsidP="00EA175A">
            <w:pPr>
              <w:spacing w:after="0"/>
              <w:jc w:val="both"/>
              <w:rPr>
                <w:rFonts w:ascii="Arial" w:hAnsi="Arial" w:cs="Arial"/>
                <w:b/>
                <w:bCs/>
                <w:sz w:val="20"/>
                <w:szCs w:val="20"/>
              </w:rPr>
            </w:pPr>
            <w:r>
              <w:rPr>
                <w:rFonts w:ascii="Arial" w:hAnsi="Arial" w:cs="Arial"/>
                <w:b/>
                <w:bCs/>
                <w:sz w:val="20"/>
                <w:szCs w:val="20"/>
              </w:rPr>
              <w:t xml:space="preserve">  </w:t>
            </w:r>
            <w:r w:rsidR="00E071BF" w:rsidRPr="00446A04">
              <w:rPr>
                <w:rFonts w:ascii="Arial" w:hAnsi="Arial" w:cs="Arial"/>
                <w:b/>
                <w:bCs/>
                <w:sz w:val="20"/>
                <w:szCs w:val="20"/>
              </w:rPr>
              <w:t>USE OF DISPERSANTS (Policy):</w:t>
            </w:r>
          </w:p>
          <w:p w:rsidR="0066435F" w:rsidRPr="00481BFE" w:rsidRDefault="002A394B" w:rsidP="00EA175A">
            <w:pPr>
              <w:spacing w:after="0"/>
              <w:ind w:left="90"/>
              <w:jc w:val="both"/>
              <w:rPr>
                <w:b/>
                <w:bCs/>
                <w:sz w:val="18"/>
                <w:szCs w:val="18"/>
              </w:rPr>
            </w:pPr>
            <w:r>
              <w:rPr>
                <w:rFonts w:ascii="Arial" w:eastAsia="Times New Roman" w:hAnsi="Arial" w:cs="Arial"/>
                <w:sz w:val="20"/>
                <w:szCs w:val="20"/>
              </w:rPr>
              <w:t>After due consideration dispersant would be used within the area covered by this MOPCP only in circumstances when its use would be essential to avoid genuine risk to human health or safety. It would not be the Coast Guard’s policy to allow the use of dispersant unless a genuine risk requiring its use could be established. Approval from EPA, Ministry of Health and Ministry of Fisheries would be sought before applying dispersants unless urgent application was needed to avoid risk to public h</w:t>
            </w:r>
            <w:r w:rsidR="00C4444E">
              <w:rPr>
                <w:rFonts w:ascii="Arial" w:eastAsia="Times New Roman" w:hAnsi="Arial" w:cs="Arial"/>
                <w:sz w:val="20"/>
                <w:szCs w:val="20"/>
              </w:rPr>
              <w:t>ealth or safety.</w:t>
            </w:r>
          </w:p>
        </w:tc>
        <w:tc>
          <w:tcPr>
            <w:tcW w:w="222" w:type="dxa"/>
          </w:tcPr>
          <w:p w:rsidR="0066435F" w:rsidRPr="00481BFE" w:rsidRDefault="0066435F" w:rsidP="003C7A38">
            <w:pPr>
              <w:spacing w:after="0"/>
              <w:rPr>
                <w:sz w:val="18"/>
                <w:szCs w:val="18"/>
              </w:rPr>
            </w:pPr>
          </w:p>
        </w:tc>
      </w:tr>
      <w:tr w:rsidR="0066435F" w:rsidRPr="00481BFE" w:rsidTr="00764E53">
        <w:trPr>
          <w:cantSplit/>
        </w:trPr>
        <w:tc>
          <w:tcPr>
            <w:tcW w:w="9138" w:type="dxa"/>
          </w:tcPr>
          <w:p w:rsidR="0066435F" w:rsidRPr="00481BFE" w:rsidRDefault="0066435F" w:rsidP="003C7A38">
            <w:pPr>
              <w:spacing w:after="0"/>
              <w:rPr>
                <w:b/>
                <w:bCs/>
                <w:sz w:val="18"/>
                <w:szCs w:val="18"/>
              </w:rPr>
            </w:pPr>
          </w:p>
        </w:tc>
        <w:tc>
          <w:tcPr>
            <w:tcW w:w="222" w:type="dxa"/>
          </w:tcPr>
          <w:p w:rsidR="0066435F" w:rsidRPr="00481BFE" w:rsidRDefault="0066435F" w:rsidP="003C7A38">
            <w:pPr>
              <w:spacing w:after="0"/>
              <w:rPr>
                <w:sz w:val="18"/>
                <w:szCs w:val="18"/>
              </w:rPr>
            </w:pPr>
          </w:p>
        </w:tc>
      </w:tr>
      <w:tr w:rsidR="0066435F" w:rsidRPr="00481BFE" w:rsidTr="00764E53">
        <w:trPr>
          <w:cantSplit/>
          <w:trHeight w:val="1134"/>
        </w:trPr>
        <w:tc>
          <w:tcPr>
            <w:tcW w:w="9138" w:type="dxa"/>
          </w:tcPr>
          <w:p w:rsidR="007340CB" w:rsidRPr="00446A04" w:rsidRDefault="002F2D81" w:rsidP="007340CB">
            <w:pPr>
              <w:spacing w:after="0"/>
              <w:rPr>
                <w:rFonts w:ascii="Arial" w:hAnsi="Arial" w:cs="Arial"/>
                <w:b/>
                <w:bCs/>
                <w:sz w:val="20"/>
                <w:szCs w:val="20"/>
              </w:rPr>
            </w:pPr>
            <w:r>
              <w:rPr>
                <w:rFonts w:ascii="Arial" w:hAnsi="Arial" w:cs="Arial"/>
                <w:b/>
                <w:bCs/>
                <w:sz w:val="20"/>
                <w:szCs w:val="20"/>
              </w:rPr>
              <w:t xml:space="preserve">  </w:t>
            </w:r>
            <w:r w:rsidR="007340CB" w:rsidRPr="00446A04">
              <w:rPr>
                <w:rFonts w:ascii="Arial" w:hAnsi="Arial" w:cs="Arial"/>
                <w:b/>
                <w:bCs/>
                <w:sz w:val="20"/>
                <w:szCs w:val="20"/>
              </w:rPr>
              <w:t>SENSITIVE AREAS:</w:t>
            </w:r>
          </w:p>
          <w:p w:rsidR="0066435F" w:rsidRPr="00481BFE" w:rsidRDefault="00C4444E" w:rsidP="007340CB">
            <w:pPr>
              <w:spacing w:after="0"/>
              <w:rPr>
                <w:b/>
                <w:bCs/>
                <w:sz w:val="18"/>
                <w:szCs w:val="18"/>
              </w:rPr>
            </w:pPr>
            <w:r>
              <w:rPr>
                <w:rFonts w:ascii="Arial" w:hAnsi="Arial" w:cs="Arial"/>
                <w:bCs/>
                <w:sz w:val="20"/>
                <w:szCs w:val="20"/>
              </w:rPr>
              <w:t>Not identified.</w:t>
            </w:r>
          </w:p>
        </w:tc>
        <w:tc>
          <w:tcPr>
            <w:tcW w:w="222" w:type="dxa"/>
          </w:tcPr>
          <w:p w:rsidR="0066435F" w:rsidRPr="00481BFE" w:rsidRDefault="0066435F" w:rsidP="003C7A38">
            <w:pPr>
              <w:spacing w:after="0"/>
              <w:rPr>
                <w:sz w:val="18"/>
                <w:szCs w:val="18"/>
              </w:rPr>
            </w:pPr>
          </w:p>
        </w:tc>
      </w:tr>
    </w:tbl>
    <w:p w:rsidR="00055124" w:rsidRPr="00481BFE" w:rsidRDefault="00055124" w:rsidP="00206278">
      <w:pPr>
        <w:spacing w:after="0"/>
        <w:rPr>
          <w:sz w:val="18"/>
          <w:szCs w:val="18"/>
        </w:rPr>
      </w:pPr>
    </w:p>
    <w:sectPr w:rsidR="00055124" w:rsidRPr="00481BFE" w:rsidSect="001F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49"/>
    <w:rsid w:val="0001001F"/>
    <w:rsid w:val="00010085"/>
    <w:rsid w:val="00055124"/>
    <w:rsid w:val="0006200C"/>
    <w:rsid w:val="000777B6"/>
    <w:rsid w:val="00090486"/>
    <w:rsid w:val="000D13C8"/>
    <w:rsid w:val="000D282A"/>
    <w:rsid w:val="000F58EF"/>
    <w:rsid w:val="001239E7"/>
    <w:rsid w:val="001441CF"/>
    <w:rsid w:val="00152181"/>
    <w:rsid w:val="00152D96"/>
    <w:rsid w:val="001A4C75"/>
    <w:rsid w:val="001B5BF3"/>
    <w:rsid w:val="001F42D1"/>
    <w:rsid w:val="00206278"/>
    <w:rsid w:val="00275693"/>
    <w:rsid w:val="0028117C"/>
    <w:rsid w:val="002A04A1"/>
    <w:rsid w:val="002A394B"/>
    <w:rsid w:val="002B73FB"/>
    <w:rsid w:val="002C6A7E"/>
    <w:rsid w:val="002F2D81"/>
    <w:rsid w:val="002F61F1"/>
    <w:rsid w:val="002F6848"/>
    <w:rsid w:val="00315348"/>
    <w:rsid w:val="00327E7C"/>
    <w:rsid w:val="003A39A6"/>
    <w:rsid w:val="003B3393"/>
    <w:rsid w:val="003C7A38"/>
    <w:rsid w:val="00425149"/>
    <w:rsid w:val="00427CF8"/>
    <w:rsid w:val="004341F5"/>
    <w:rsid w:val="00444D67"/>
    <w:rsid w:val="00481BFE"/>
    <w:rsid w:val="004941F2"/>
    <w:rsid w:val="004D0FA3"/>
    <w:rsid w:val="004D550D"/>
    <w:rsid w:val="004F1945"/>
    <w:rsid w:val="00513044"/>
    <w:rsid w:val="00532A41"/>
    <w:rsid w:val="005607C0"/>
    <w:rsid w:val="0058630B"/>
    <w:rsid w:val="005B03D8"/>
    <w:rsid w:val="005E2BFE"/>
    <w:rsid w:val="00613D2A"/>
    <w:rsid w:val="00631340"/>
    <w:rsid w:val="00655968"/>
    <w:rsid w:val="00657DC2"/>
    <w:rsid w:val="0066435F"/>
    <w:rsid w:val="006C2A77"/>
    <w:rsid w:val="006E3065"/>
    <w:rsid w:val="006E7014"/>
    <w:rsid w:val="006F188A"/>
    <w:rsid w:val="0070779C"/>
    <w:rsid w:val="00707C67"/>
    <w:rsid w:val="007146F7"/>
    <w:rsid w:val="007340CB"/>
    <w:rsid w:val="00753DCA"/>
    <w:rsid w:val="00757157"/>
    <w:rsid w:val="00764E53"/>
    <w:rsid w:val="00793718"/>
    <w:rsid w:val="007D34B0"/>
    <w:rsid w:val="00816EE9"/>
    <w:rsid w:val="008475F4"/>
    <w:rsid w:val="008566A9"/>
    <w:rsid w:val="008618E2"/>
    <w:rsid w:val="008E0AA0"/>
    <w:rsid w:val="0091156F"/>
    <w:rsid w:val="009301D3"/>
    <w:rsid w:val="009468AB"/>
    <w:rsid w:val="00994B0E"/>
    <w:rsid w:val="009A6D77"/>
    <w:rsid w:val="009B1B1E"/>
    <w:rsid w:val="00A141AD"/>
    <w:rsid w:val="00A66D56"/>
    <w:rsid w:val="00A76D5F"/>
    <w:rsid w:val="00A87DA9"/>
    <w:rsid w:val="00A924E5"/>
    <w:rsid w:val="00AB51ED"/>
    <w:rsid w:val="00AC0F9A"/>
    <w:rsid w:val="00AC6826"/>
    <w:rsid w:val="00AF52BF"/>
    <w:rsid w:val="00B175BC"/>
    <w:rsid w:val="00B47C5B"/>
    <w:rsid w:val="00B90B35"/>
    <w:rsid w:val="00B918A5"/>
    <w:rsid w:val="00B96B19"/>
    <w:rsid w:val="00BA3A4A"/>
    <w:rsid w:val="00BA3D39"/>
    <w:rsid w:val="00BC48B3"/>
    <w:rsid w:val="00BC6178"/>
    <w:rsid w:val="00BC77B4"/>
    <w:rsid w:val="00BE735C"/>
    <w:rsid w:val="00C05658"/>
    <w:rsid w:val="00C34F32"/>
    <w:rsid w:val="00C368E7"/>
    <w:rsid w:val="00C437DC"/>
    <w:rsid w:val="00C4444E"/>
    <w:rsid w:val="00C964B7"/>
    <w:rsid w:val="00CA2616"/>
    <w:rsid w:val="00CA3B54"/>
    <w:rsid w:val="00CB41DE"/>
    <w:rsid w:val="00CC5A37"/>
    <w:rsid w:val="00D575CA"/>
    <w:rsid w:val="00D77467"/>
    <w:rsid w:val="00D87A02"/>
    <w:rsid w:val="00E071BF"/>
    <w:rsid w:val="00E16005"/>
    <w:rsid w:val="00E21A48"/>
    <w:rsid w:val="00E679F5"/>
    <w:rsid w:val="00E73242"/>
    <w:rsid w:val="00EA175A"/>
    <w:rsid w:val="00EB1069"/>
    <w:rsid w:val="00EC2278"/>
    <w:rsid w:val="00EC6B7B"/>
    <w:rsid w:val="00EF4A16"/>
    <w:rsid w:val="00F2208E"/>
    <w:rsid w:val="00F31DBF"/>
    <w:rsid w:val="00F53E2F"/>
    <w:rsid w:val="00F77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1"/>
  </w:style>
  <w:style w:type="paragraph" w:styleId="Heading1">
    <w:name w:val="heading 1"/>
    <w:basedOn w:val="Normal"/>
    <w:next w:val="Normal"/>
    <w:link w:val="Heading1Char"/>
    <w:qFormat/>
    <w:rsid w:val="002F61F1"/>
    <w:pPr>
      <w:keepNext/>
      <w:spacing w:after="0" w:line="240" w:lineRule="auto"/>
      <w:outlineLvl w:val="0"/>
    </w:pPr>
    <w:rPr>
      <w:rFonts w:ascii="Times New Roman" w:eastAsia="Times New Roman" w:hAnsi="Times New Roman" w:cs="Times New Roman"/>
      <w:b/>
      <w:caps/>
      <w:sz w:val="23"/>
      <w:szCs w:val="20"/>
      <w:lang w:val="en-GB"/>
    </w:rPr>
  </w:style>
  <w:style w:type="paragraph" w:styleId="Heading6">
    <w:name w:val="heading 6"/>
    <w:basedOn w:val="Normal"/>
    <w:next w:val="Normal"/>
    <w:link w:val="Heading6Char"/>
    <w:uiPriority w:val="9"/>
    <w:semiHidden/>
    <w:unhideWhenUsed/>
    <w:qFormat/>
    <w:rsid w:val="00C368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71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5149"/>
    <w:pPr>
      <w:keepNext/>
      <w:spacing w:before="460" w:after="0" w:line="240" w:lineRule="auto"/>
      <w:ind w:left="709" w:hanging="709"/>
    </w:pPr>
    <w:rPr>
      <w:rFonts w:ascii="Times New Roman" w:eastAsia="Times New Roman" w:hAnsi="Times New Roman" w:cs="Times New Roman"/>
      <w:b/>
      <w:sz w:val="23"/>
      <w:szCs w:val="20"/>
      <w:lang w:val="en-GB"/>
    </w:rPr>
  </w:style>
  <w:style w:type="character" w:customStyle="1" w:styleId="HeaderChar">
    <w:name w:val="Header Char"/>
    <w:basedOn w:val="DefaultParagraphFont"/>
    <w:link w:val="Header"/>
    <w:semiHidden/>
    <w:rsid w:val="00425149"/>
    <w:rPr>
      <w:rFonts w:ascii="Times New Roman" w:eastAsia="Times New Roman" w:hAnsi="Times New Roman" w:cs="Times New Roman"/>
      <w:b/>
      <w:sz w:val="23"/>
      <w:szCs w:val="20"/>
      <w:lang w:val="en-GB"/>
    </w:rPr>
  </w:style>
  <w:style w:type="paragraph" w:styleId="BodyText3">
    <w:name w:val="Body Text 3"/>
    <w:basedOn w:val="Normal"/>
    <w:link w:val="BodyText3Char"/>
    <w:semiHidden/>
    <w:rsid w:val="00425149"/>
    <w:pPr>
      <w:spacing w:after="0" w:line="240" w:lineRule="auto"/>
      <w:jc w:val="center"/>
    </w:pPr>
    <w:rPr>
      <w:rFonts w:ascii="Times New Roman" w:eastAsia="Times New Roman" w:hAnsi="Times New Roman" w:cs="Times New Roman"/>
      <w:sz w:val="36"/>
      <w:szCs w:val="20"/>
      <w:lang w:val="en-GB"/>
    </w:rPr>
  </w:style>
  <w:style w:type="character" w:customStyle="1" w:styleId="BodyText3Char">
    <w:name w:val="Body Text 3 Char"/>
    <w:basedOn w:val="DefaultParagraphFont"/>
    <w:link w:val="BodyText3"/>
    <w:semiHidden/>
    <w:rsid w:val="00425149"/>
    <w:rPr>
      <w:rFonts w:ascii="Times New Roman" w:eastAsia="Times New Roman" w:hAnsi="Times New Roman" w:cs="Times New Roman"/>
      <w:sz w:val="36"/>
      <w:szCs w:val="20"/>
      <w:lang w:val="en-GB"/>
    </w:rPr>
  </w:style>
  <w:style w:type="character" w:customStyle="1" w:styleId="Heading1Char">
    <w:name w:val="Heading 1 Char"/>
    <w:basedOn w:val="DefaultParagraphFont"/>
    <w:link w:val="Heading1"/>
    <w:rsid w:val="002F61F1"/>
    <w:rPr>
      <w:rFonts w:ascii="Times New Roman" w:eastAsia="Times New Roman" w:hAnsi="Times New Roman" w:cs="Times New Roman"/>
      <w:b/>
      <w:caps/>
      <w:sz w:val="23"/>
      <w:szCs w:val="20"/>
      <w:lang w:val="en-GB"/>
    </w:rPr>
  </w:style>
  <w:style w:type="paragraph" w:styleId="Footer">
    <w:name w:val="footer"/>
    <w:basedOn w:val="Normal"/>
    <w:link w:val="FooterChar"/>
    <w:uiPriority w:val="99"/>
    <w:rsid w:val="002F61F1"/>
    <w:pPr>
      <w:tabs>
        <w:tab w:val="center" w:pos="4153"/>
        <w:tab w:val="right" w:pos="8306"/>
      </w:tabs>
      <w:spacing w:after="0" w:line="240" w:lineRule="auto"/>
    </w:pPr>
    <w:rPr>
      <w:rFonts w:ascii="Times New Roman" w:eastAsia="Times New Roman" w:hAnsi="Times New Roman" w:cs="Times New Roman"/>
      <w:sz w:val="23"/>
      <w:szCs w:val="20"/>
      <w:lang w:val="en-GB"/>
    </w:rPr>
  </w:style>
  <w:style w:type="character" w:customStyle="1" w:styleId="FooterChar">
    <w:name w:val="Footer Char"/>
    <w:basedOn w:val="DefaultParagraphFont"/>
    <w:link w:val="Footer"/>
    <w:uiPriority w:val="99"/>
    <w:rsid w:val="002F61F1"/>
    <w:rPr>
      <w:rFonts w:ascii="Times New Roman" w:eastAsia="Times New Roman" w:hAnsi="Times New Roman" w:cs="Times New Roman"/>
      <w:sz w:val="23"/>
      <w:szCs w:val="20"/>
      <w:lang w:val="en-GB"/>
    </w:rPr>
  </w:style>
  <w:style w:type="paragraph" w:customStyle="1" w:styleId="Nicetitle">
    <w:name w:val="Nice title"/>
    <w:basedOn w:val="Header"/>
    <w:rsid w:val="002F61F1"/>
    <w:pPr>
      <w:spacing w:after="120"/>
    </w:pPr>
    <w:rPr>
      <w:sz w:val="36"/>
    </w:rPr>
  </w:style>
  <w:style w:type="paragraph" w:customStyle="1" w:styleId="Body">
    <w:name w:val="Body"/>
    <w:basedOn w:val="Normal"/>
    <w:rsid w:val="001A4C75"/>
    <w:pPr>
      <w:tabs>
        <w:tab w:val="left" w:pos="-720"/>
        <w:tab w:val="left" w:pos="709"/>
      </w:tabs>
      <w:suppressAutoHyphens/>
      <w:spacing w:before="230" w:after="0" w:line="240" w:lineRule="auto"/>
      <w:jc w:val="both"/>
    </w:pPr>
    <w:rPr>
      <w:rFonts w:ascii="Times New Roman" w:eastAsia="Times New Roman" w:hAnsi="Times New Roman" w:cs="Times New Roman"/>
      <w:spacing w:val="-2"/>
      <w:sz w:val="23"/>
      <w:szCs w:val="20"/>
      <w:lang w:val="en-GB"/>
    </w:rPr>
  </w:style>
  <w:style w:type="character" w:styleId="Hyperlink">
    <w:name w:val="Hyperlink"/>
    <w:basedOn w:val="DefaultParagraphFont"/>
    <w:uiPriority w:val="99"/>
    <w:unhideWhenUsed/>
    <w:rsid w:val="008566A9"/>
    <w:rPr>
      <w:color w:val="0000FF" w:themeColor="hyperlink"/>
      <w:u w:val="single"/>
    </w:rPr>
  </w:style>
  <w:style w:type="paragraph" w:styleId="BalloonText">
    <w:name w:val="Balloon Text"/>
    <w:basedOn w:val="Normal"/>
    <w:link w:val="BalloonTextChar"/>
    <w:uiPriority w:val="99"/>
    <w:semiHidden/>
    <w:unhideWhenUsed/>
    <w:rsid w:val="004D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0D"/>
    <w:rPr>
      <w:rFonts w:ascii="Tahoma" w:hAnsi="Tahoma" w:cs="Tahoma"/>
      <w:sz w:val="16"/>
      <w:szCs w:val="16"/>
    </w:rPr>
  </w:style>
  <w:style w:type="character" w:customStyle="1" w:styleId="Heading6Char">
    <w:name w:val="Heading 6 Char"/>
    <w:basedOn w:val="DefaultParagraphFont"/>
    <w:link w:val="Heading6"/>
    <w:uiPriority w:val="9"/>
    <w:semiHidden/>
    <w:rsid w:val="00C368E7"/>
    <w:rPr>
      <w:rFonts w:asciiTheme="majorHAnsi" w:eastAsiaTheme="majorEastAsia" w:hAnsiTheme="majorHAnsi" w:cstheme="majorBidi"/>
      <w:i/>
      <w:iCs/>
      <w:color w:val="243F60" w:themeColor="accent1" w:themeShade="7F"/>
    </w:rPr>
  </w:style>
  <w:style w:type="paragraph" w:customStyle="1" w:styleId="TxBrp24">
    <w:name w:val="TxBr_p24"/>
    <w:basedOn w:val="Normal"/>
    <w:rsid w:val="00C368E7"/>
    <w:pPr>
      <w:snapToGrid w:val="0"/>
      <w:spacing w:after="0" w:line="240" w:lineRule="atLeast"/>
      <w:jc w:val="both"/>
    </w:pPr>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uiPriority w:val="9"/>
    <w:semiHidden/>
    <w:rsid w:val="00E071B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1"/>
  </w:style>
  <w:style w:type="paragraph" w:styleId="Heading1">
    <w:name w:val="heading 1"/>
    <w:basedOn w:val="Normal"/>
    <w:next w:val="Normal"/>
    <w:link w:val="Heading1Char"/>
    <w:qFormat/>
    <w:rsid w:val="002F61F1"/>
    <w:pPr>
      <w:keepNext/>
      <w:spacing w:after="0" w:line="240" w:lineRule="auto"/>
      <w:outlineLvl w:val="0"/>
    </w:pPr>
    <w:rPr>
      <w:rFonts w:ascii="Times New Roman" w:eastAsia="Times New Roman" w:hAnsi="Times New Roman" w:cs="Times New Roman"/>
      <w:b/>
      <w:caps/>
      <w:sz w:val="23"/>
      <w:szCs w:val="20"/>
      <w:lang w:val="en-GB"/>
    </w:rPr>
  </w:style>
  <w:style w:type="paragraph" w:styleId="Heading6">
    <w:name w:val="heading 6"/>
    <w:basedOn w:val="Normal"/>
    <w:next w:val="Normal"/>
    <w:link w:val="Heading6Char"/>
    <w:uiPriority w:val="9"/>
    <w:semiHidden/>
    <w:unhideWhenUsed/>
    <w:qFormat/>
    <w:rsid w:val="00C368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71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5149"/>
    <w:pPr>
      <w:keepNext/>
      <w:spacing w:before="460" w:after="0" w:line="240" w:lineRule="auto"/>
      <w:ind w:left="709" w:hanging="709"/>
    </w:pPr>
    <w:rPr>
      <w:rFonts w:ascii="Times New Roman" w:eastAsia="Times New Roman" w:hAnsi="Times New Roman" w:cs="Times New Roman"/>
      <w:b/>
      <w:sz w:val="23"/>
      <w:szCs w:val="20"/>
      <w:lang w:val="en-GB"/>
    </w:rPr>
  </w:style>
  <w:style w:type="character" w:customStyle="1" w:styleId="HeaderChar">
    <w:name w:val="Header Char"/>
    <w:basedOn w:val="DefaultParagraphFont"/>
    <w:link w:val="Header"/>
    <w:semiHidden/>
    <w:rsid w:val="00425149"/>
    <w:rPr>
      <w:rFonts w:ascii="Times New Roman" w:eastAsia="Times New Roman" w:hAnsi="Times New Roman" w:cs="Times New Roman"/>
      <w:b/>
      <w:sz w:val="23"/>
      <w:szCs w:val="20"/>
      <w:lang w:val="en-GB"/>
    </w:rPr>
  </w:style>
  <w:style w:type="paragraph" w:styleId="BodyText3">
    <w:name w:val="Body Text 3"/>
    <w:basedOn w:val="Normal"/>
    <w:link w:val="BodyText3Char"/>
    <w:semiHidden/>
    <w:rsid w:val="00425149"/>
    <w:pPr>
      <w:spacing w:after="0" w:line="240" w:lineRule="auto"/>
      <w:jc w:val="center"/>
    </w:pPr>
    <w:rPr>
      <w:rFonts w:ascii="Times New Roman" w:eastAsia="Times New Roman" w:hAnsi="Times New Roman" w:cs="Times New Roman"/>
      <w:sz w:val="36"/>
      <w:szCs w:val="20"/>
      <w:lang w:val="en-GB"/>
    </w:rPr>
  </w:style>
  <w:style w:type="character" w:customStyle="1" w:styleId="BodyText3Char">
    <w:name w:val="Body Text 3 Char"/>
    <w:basedOn w:val="DefaultParagraphFont"/>
    <w:link w:val="BodyText3"/>
    <w:semiHidden/>
    <w:rsid w:val="00425149"/>
    <w:rPr>
      <w:rFonts w:ascii="Times New Roman" w:eastAsia="Times New Roman" w:hAnsi="Times New Roman" w:cs="Times New Roman"/>
      <w:sz w:val="36"/>
      <w:szCs w:val="20"/>
      <w:lang w:val="en-GB"/>
    </w:rPr>
  </w:style>
  <w:style w:type="character" w:customStyle="1" w:styleId="Heading1Char">
    <w:name w:val="Heading 1 Char"/>
    <w:basedOn w:val="DefaultParagraphFont"/>
    <w:link w:val="Heading1"/>
    <w:rsid w:val="002F61F1"/>
    <w:rPr>
      <w:rFonts w:ascii="Times New Roman" w:eastAsia="Times New Roman" w:hAnsi="Times New Roman" w:cs="Times New Roman"/>
      <w:b/>
      <w:caps/>
      <w:sz w:val="23"/>
      <w:szCs w:val="20"/>
      <w:lang w:val="en-GB"/>
    </w:rPr>
  </w:style>
  <w:style w:type="paragraph" w:styleId="Footer">
    <w:name w:val="footer"/>
    <w:basedOn w:val="Normal"/>
    <w:link w:val="FooterChar"/>
    <w:uiPriority w:val="99"/>
    <w:rsid w:val="002F61F1"/>
    <w:pPr>
      <w:tabs>
        <w:tab w:val="center" w:pos="4153"/>
        <w:tab w:val="right" w:pos="8306"/>
      </w:tabs>
      <w:spacing w:after="0" w:line="240" w:lineRule="auto"/>
    </w:pPr>
    <w:rPr>
      <w:rFonts w:ascii="Times New Roman" w:eastAsia="Times New Roman" w:hAnsi="Times New Roman" w:cs="Times New Roman"/>
      <w:sz w:val="23"/>
      <w:szCs w:val="20"/>
      <w:lang w:val="en-GB"/>
    </w:rPr>
  </w:style>
  <w:style w:type="character" w:customStyle="1" w:styleId="FooterChar">
    <w:name w:val="Footer Char"/>
    <w:basedOn w:val="DefaultParagraphFont"/>
    <w:link w:val="Footer"/>
    <w:uiPriority w:val="99"/>
    <w:rsid w:val="002F61F1"/>
    <w:rPr>
      <w:rFonts w:ascii="Times New Roman" w:eastAsia="Times New Roman" w:hAnsi="Times New Roman" w:cs="Times New Roman"/>
      <w:sz w:val="23"/>
      <w:szCs w:val="20"/>
      <w:lang w:val="en-GB"/>
    </w:rPr>
  </w:style>
  <w:style w:type="paragraph" w:customStyle="1" w:styleId="Nicetitle">
    <w:name w:val="Nice title"/>
    <w:basedOn w:val="Header"/>
    <w:rsid w:val="002F61F1"/>
    <w:pPr>
      <w:spacing w:after="120"/>
    </w:pPr>
    <w:rPr>
      <w:sz w:val="36"/>
    </w:rPr>
  </w:style>
  <w:style w:type="paragraph" w:customStyle="1" w:styleId="Body">
    <w:name w:val="Body"/>
    <w:basedOn w:val="Normal"/>
    <w:rsid w:val="001A4C75"/>
    <w:pPr>
      <w:tabs>
        <w:tab w:val="left" w:pos="-720"/>
        <w:tab w:val="left" w:pos="709"/>
      </w:tabs>
      <w:suppressAutoHyphens/>
      <w:spacing w:before="230" w:after="0" w:line="240" w:lineRule="auto"/>
      <w:jc w:val="both"/>
    </w:pPr>
    <w:rPr>
      <w:rFonts w:ascii="Times New Roman" w:eastAsia="Times New Roman" w:hAnsi="Times New Roman" w:cs="Times New Roman"/>
      <w:spacing w:val="-2"/>
      <w:sz w:val="23"/>
      <w:szCs w:val="20"/>
      <w:lang w:val="en-GB"/>
    </w:rPr>
  </w:style>
  <w:style w:type="character" w:styleId="Hyperlink">
    <w:name w:val="Hyperlink"/>
    <w:basedOn w:val="DefaultParagraphFont"/>
    <w:uiPriority w:val="99"/>
    <w:unhideWhenUsed/>
    <w:rsid w:val="008566A9"/>
    <w:rPr>
      <w:color w:val="0000FF" w:themeColor="hyperlink"/>
      <w:u w:val="single"/>
    </w:rPr>
  </w:style>
  <w:style w:type="paragraph" w:styleId="BalloonText">
    <w:name w:val="Balloon Text"/>
    <w:basedOn w:val="Normal"/>
    <w:link w:val="BalloonTextChar"/>
    <w:uiPriority w:val="99"/>
    <w:semiHidden/>
    <w:unhideWhenUsed/>
    <w:rsid w:val="004D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0D"/>
    <w:rPr>
      <w:rFonts w:ascii="Tahoma" w:hAnsi="Tahoma" w:cs="Tahoma"/>
      <w:sz w:val="16"/>
      <w:szCs w:val="16"/>
    </w:rPr>
  </w:style>
  <w:style w:type="character" w:customStyle="1" w:styleId="Heading6Char">
    <w:name w:val="Heading 6 Char"/>
    <w:basedOn w:val="DefaultParagraphFont"/>
    <w:link w:val="Heading6"/>
    <w:uiPriority w:val="9"/>
    <w:semiHidden/>
    <w:rsid w:val="00C368E7"/>
    <w:rPr>
      <w:rFonts w:asciiTheme="majorHAnsi" w:eastAsiaTheme="majorEastAsia" w:hAnsiTheme="majorHAnsi" w:cstheme="majorBidi"/>
      <w:i/>
      <w:iCs/>
      <w:color w:val="243F60" w:themeColor="accent1" w:themeShade="7F"/>
    </w:rPr>
  </w:style>
  <w:style w:type="paragraph" w:customStyle="1" w:styleId="TxBrp24">
    <w:name w:val="TxBr_p24"/>
    <w:basedOn w:val="Normal"/>
    <w:rsid w:val="00C368E7"/>
    <w:pPr>
      <w:snapToGrid w:val="0"/>
      <w:spacing w:after="0" w:line="240" w:lineRule="atLeast"/>
      <w:jc w:val="both"/>
    </w:pPr>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uiPriority w:val="9"/>
    <w:semiHidden/>
    <w:rsid w:val="00E071B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Makaranda</cp:lastModifiedBy>
  <cp:revision>6</cp:revision>
  <cp:lastPrinted>2016-06-13T05:29:00Z</cp:lastPrinted>
  <dcterms:created xsi:type="dcterms:W3CDTF">2016-03-08T08:41:00Z</dcterms:created>
  <dcterms:modified xsi:type="dcterms:W3CDTF">2016-06-13T05:29:00Z</dcterms:modified>
</cp:coreProperties>
</file>