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EA" w:rsidRDefault="001D2CEA" w:rsidP="001D2CEA">
      <w:pPr>
        <w:pStyle w:val="Nicetitle"/>
        <w:pageBreakBefore/>
      </w:pPr>
      <w:r>
        <w:t>Sri Lanka</w:t>
      </w:r>
    </w:p>
    <w:p w:rsidR="001D2CEA" w:rsidRDefault="001D2CEA" w:rsidP="001D2CEA">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5"/>
        <w:gridCol w:w="583"/>
        <w:gridCol w:w="586"/>
        <w:gridCol w:w="583"/>
        <w:gridCol w:w="586"/>
      </w:tblGrid>
      <w:tr w:rsidR="001D2CEA" w:rsidTr="00824B93">
        <w:trPr>
          <w:cantSplit/>
        </w:trPr>
        <w:tc>
          <w:tcPr>
            <w:tcW w:w="6475" w:type="dxa"/>
            <w:tcBorders>
              <w:top w:val="nil"/>
              <w:left w:val="nil"/>
              <w:bottom w:val="nil"/>
              <w:right w:val="single" w:sz="4" w:space="0" w:color="auto"/>
            </w:tcBorders>
          </w:tcPr>
          <w:p w:rsidR="001D2CEA" w:rsidRDefault="001D2CEA" w:rsidP="00824B93">
            <w:pPr>
              <w:rPr>
                <w:b/>
                <w:bCs/>
              </w:rPr>
            </w:pPr>
          </w:p>
        </w:tc>
        <w:tc>
          <w:tcPr>
            <w:tcW w:w="1169" w:type="dxa"/>
            <w:gridSpan w:val="2"/>
            <w:tcBorders>
              <w:left w:val="single" w:sz="4" w:space="0" w:color="auto"/>
            </w:tcBorders>
          </w:tcPr>
          <w:p w:rsidR="001D2CEA" w:rsidRDefault="001D2CEA" w:rsidP="00824B93">
            <w:pPr>
              <w:jc w:val="center"/>
              <w:rPr>
                <w:b/>
                <w:bCs/>
              </w:rPr>
            </w:pPr>
            <w:r>
              <w:rPr>
                <w:b/>
                <w:bCs/>
              </w:rPr>
              <w:t>At Sea</w:t>
            </w:r>
          </w:p>
        </w:tc>
        <w:tc>
          <w:tcPr>
            <w:tcW w:w="1169" w:type="dxa"/>
            <w:gridSpan w:val="2"/>
          </w:tcPr>
          <w:p w:rsidR="001D2CEA" w:rsidRDefault="001D2CEA" w:rsidP="00824B93">
            <w:pPr>
              <w:jc w:val="center"/>
              <w:rPr>
                <w:b/>
                <w:bCs/>
              </w:rPr>
            </w:pPr>
            <w:r>
              <w:rPr>
                <w:b/>
                <w:bCs/>
              </w:rPr>
              <w:t>On Shore</w:t>
            </w:r>
          </w:p>
        </w:tc>
      </w:tr>
      <w:tr w:rsidR="001D2CEA" w:rsidTr="00824B93">
        <w:trPr>
          <w:cantSplit/>
        </w:trPr>
        <w:tc>
          <w:tcPr>
            <w:tcW w:w="6475" w:type="dxa"/>
            <w:tcBorders>
              <w:top w:val="nil"/>
              <w:left w:val="nil"/>
              <w:bottom w:val="single" w:sz="4" w:space="0" w:color="auto"/>
              <w:right w:val="single" w:sz="4" w:space="0" w:color="auto"/>
            </w:tcBorders>
          </w:tcPr>
          <w:p w:rsidR="001D2CEA" w:rsidRDefault="001D2CEA" w:rsidP="00824B93">
            <w:pPr>
              <w:jc w:val="right"/>
            </w:pPr>
            <w:proofErr w:type="spellStart"/>
            <w:r>
              <w:t>Pr</w:t>
            </w:r>
            <w:proofErr w:type="spellEnd"/>
            <w:r>
              <w:t xml:space="preserve"> = preparedness, Re = response</w:t>
            </w:r>
          </w:p>
        </w:tc>
        <w:tc>
          <w:tcPr>
            <w:tcW w:w="583" w:type="dxa"/>
            <w:tcBorders>
              <w:left w:val="single" w:sz="4" w:space="0" w:color="auto"/>
            </w:tcBorders>
          </w:tcPr>
          <w:p w:rsidR="001D2CEA" w:rsidRDefault="001D2CEA" w:rsidP="00824B93">
            <w:pPr>
              <w:jc w:val="center"/>
              <w:rPr>
                <w:b/>
                <w:bCs/>
                <w:i/>
                <w:iCs/>
              </w:rPr>
            </w:pPr>
            <w:proofErr w:type="spellStart"/>
            <w:r>
              <w:rPr>
                <w:b/>
                <w:bCs/>
                <w:i/>
                <w:iCs/>
              </w:rPr>
              <w:t>Pr</w:t>
            </w:r>
            <w:proofErr w:type="spellEnd"/>
          </w:p>
        </w:tc>
        <w:tc>
          <w:tcPr>
            <w:tcW w:w="586" w:type="dxa"/>
          </w:tcPr>
          <w:p w:rsidR="001D2CEA" w:rsidRDefault="001D2CEA" w:rsidP="00824B93">
            <w:pPr>
              <w:jc w:val="center"/>
              <w:rPr>
                <w:b/>
                <w:bCs/>
                <w:i/>
                <w:iCs/>
              </w:rPr>
            </w:pPr>
            <w:r>
              <w:rPr>
                <w:b/>
                <w:bCs/>
                <w:i/>
                <w:iCs/>
              </w:rPr>
              <w:t>Re</w:t>
            </w:r>
          </w:p>
        </w:tc>
        <w:tc>
          <w:tcPr>
            <w:tcW w:w="583" w:type="dxa"/>
          </w:tcPr>
          <w:p w:rsidR="001D2CEA" w:rsidRDefault="001D2CEA" w:rsidP="00824B93">
            <w:pPr>
              <w:jc w:val="center"/>
              <w:rPr>
                <w:b/>
                <w:bCs/>
                <w:i/>
                <w:iCs/>
              </w:rPr>
            </w:pPr>
            <w:proofErr w:type="spellStart"/>
            <w:r>
              <w:rPr>
                <w:b/>
                <w:bCs/>
                <w:i/>
                <w:iCs/>
              </w:rPr>
              <w:t>Pr</w:t>
            </w:r>
            <w:proofErr w:type="spellEnd"/>
          </w:p>
        </w:tc>
        <w:tc>
          <w:tcPr>
            <w:tcW w:w="586" w:type="dxa"/>
          </w:tcPr>
          <w:p w:rsidR="001D2CEA" w:rsidRDefault="001D2CEA" w:rsidP="00824B93">
            <w:pPr>
              <w:jc w:val="center"/>
              <w:rPr>
                <w:b/>
                <w:bCs/>
                <w:i/>
                <w:iCs/>
              </w:rPr>
            </w:pPr>
            <w:r>
              <w:rPr>
                <w:b/>
                <w:bCs/>
                <w:i/>
                <w:iCs/>
              </w:rPr>
              <w:t>Re</w:t>
            </w:r>
          </w:p>
        </w:tc>
      </w:tr>
      <w:tr w:rsidR="001D2CEA" w:rsidTr="00824B93">
        <w:trPr>
          <w:cantSplit/>
          <w:trHeight w:val="2268"/>
        </w:trPr>
        <w:tc>
          <w:tcPr>
            <w:tcW w:w="6475" w:type="dxa"/>
          </w:tcPr>
          <w:p w:rsidR="001D2CEA" w:rsidRDefault="001D2CEA" w:rsidP="00824B93">
            <w:pPr>
              <w:pStyle w:val="Heading1"/>
              <w:rPr>
                <w:bCs/>
                <w:caps w:val="0"/>
              </w:rPr>
            </w:pPr>
            <w:r>
              <w:rPr>
                <w:bCs/>
                <w:caps w:val="0"/>
              </w:rPr>
              <w:t>Governmental Level</w:t>
            </w:r>
          </w:p>
          <w:p w:rsidR="001D2CEA" w:rsidRDefault="001D2CEA" w:rsidP="00824B93">
            <w:r>
              <w:t xml:space="preserve">Marine Environment Protection </w:t>
            </w:r>
            <w:proofErr w:type="spellStart"/>
            <w:r>
              <w:t>Authrity</w:t>
            </w:r>
            <w:proofErr w:type="spellEnd"/>
          </w:p>
          <w:p w:rsidR="001D2CEA" w:rsidRDefault="001D2CEA" w:rsidP="00824B93">
            <w:r>
              <w:t xml:space="preserve">Disaster Management </w:t>
            </w:r>
            <w:proofErr w:type="spellStart"/>
            <w:r>
              <w:t>Center</w:t>
            </w:r>
            <w:proofErr w:type="spellEnd"/>
            <w:r>
              <w:t xml:space="preserve"> </w:t>
            </w:r>
          </w:p>
          <w:p w:rsidR="001D2CEA" w:rsidRDefault="001D2CEA" w:rsidP="00824B93">
            <w:r>
              <w:t xml:space="preserve">Sri Lanka Coast Guard </w:t>
            </w:r>
          </w:p>
          <w:p w:rsidR="001D2CEA" w:rsidRDefault="001D2CEA" w:rsidP="00824B93">
            <w:r>
              <w:t>Sri Lanka Navy</w:t>
            </w:r>
          </w:p>
          <w:p w:rsidR="001D2CEA" w:rsidRDefault="001D2CEA" w:rsidP="00824B93">
            <w:r>
              <w:t xml:space="preserve">Sri Lanka Ports Authority </w:t>
            </w:r>
          </w:p>
          <w:p w:rsidR="001D2CEA" w:rsidRDefault="001D2CEA" w:rsidP="00824B93">
            <w:r>
              <w:t xml:space="preserve">Ceylon </w:t>
            </w:r>
            <w:proofErr w:type="spellStart"/>
            <w:r>
              <w:t>Petroeum</w:t>
            </w:r>
            <w:proofErr w:type="spellEnd"/>
            <w:r>
              <w:t xml:space="preserve"> </w:t>
            </w:r>
            <w:proofErr w:type="spellStart"/>
            <w:r>
              <w:t>Coporation</w:t>
            </w:r>
            <w:proofErr w:type="spellEnd"/>
          </w:p>
          <w:p w:rsidR="001D2CEA" w:rsidRDefault="001D2CEA" w:rsidP="00824B93">
            <w:r>
              <w:t>Sri Lanka Army</w:t>
            </w:r>
          </w:p>
        </w:tc>
        <w:tc>
          <w:tcPr>
            <w:tcW w:w="583" w:type="dxa"/>
          </w:tcPr>
          <w:p w:rsidR="001D2CEA" w:rsidRDefault="001D2CEA" w:rsidP="00824B93">
            <w:pPr>
              <w:jc w:val="center"/>
            </w:pPr>
            <w:r>
              <w:t>X</w:t>
            </w:r>
          </w:p>
          <w:p w:rsidR="001D2CEA" w:rsidRDefault="001D2CEA" w:rsidP="00824B93">
            <w:pPr>
              <w:jc w:val="center"/>
            </w:pPr>
          </w:p>
          <w:p w:rsidR="001D2CEA" w:rsidRDefault="001D2CEA" w:rsidP="00824B93">
            <w:pPr>
              <w:jc w:val="center"/>
            </w:pPr>
          </w:p>
        </w:tc>
        <w:tc>
          <w:tcPr>
            <w:tcW w:w="586" w:type="dxa"/>
          </w:tcPr>
          <w:p w:rsidR="001D2CEA" w:rsidRDefault="001D2CEA" w:rsidP="00824B93">
            <w:pPr>
              <w:jc w:val="center"/>
            </w:pPr>
          </w:p>
          <w:p w:rsidR="001D2CEA" w:rsidRDefault="001D2CEA" w:rsidP="00824B93">
            <w:pPr>
              <w:jc w:val="center"/>
            </w:pPr>
          </w:p>
          <w:p w:rsidR="001D2CEA" w:rsidRDefault="001D2CEA" w:rsidP="00824B93">
            <w:pPr>
              <w:jc w:val="center"/>
            </w:pPr>
            <w:r>
              <w:t>X</w:t>
            </w:r>
          </w:p>
          <w:p w:rsidR="001D2CEA" w:rsidRDefault="001D2CEA" w:rsidP="00824B93">
            <w:pPr>
              <w:jc w:val="center"/>
            </w:pPr>
            <w:r>
              <w:t>X</w:t>
            </w:r>
          </w:p>
          <w:p w:rsidR="001D2CEA" w:rsidRDefault="001D2CEA" w:rsidP="00824B93">
            <w:pPr>
              <w:jc w:val="center"/>
            </w:pPr>
            <w:r>
              <w:t>X</w:t>
            </w:r>
          </w:p>
          <w:p w:rsidR="001D2CEA" w:rsidRDefault="001D2CEA" w:rsidP="00824B93">
            <w:pPr>
              <w:jc w:val="center"/>
            </w:pPr>
            <w:r>
              <w:t>X</w:t>
            </w:r>
          </w:p>
          <w:p w:rsidR="001D2CEA" w:rsidRDefault="001D2CEA" w:rsidP="00824B93">
            <w:pPr>
              <w:jc w:val="center"/>
            </w:pPr>
          </w:p>
          <w:p w:rsidR="001D2CEA" w:rsidRDefault="001D2CEA" w:rsidP="00824B93">
            <w:pPr>
              <w:jc w:val="center"/>
            </w:pPr>
          </w:p>
          <w:p w:rsidR="001D2CEA" w:rsidRDefault="001D2CEA" w:rsidP="00824B93">
            <w:pPr>
              <w:jc w:val="center"/>
            </w:pPr>
          </w:p>
          <w:p w:rsidR="001D2CEA" w:rsidRDefault="001D2CEA" w:rsidP="00824B93">
            <w:pPr>
              <w:jc w:val="center"/>
            </w:pPr>
          </w:p>
        </w:tc>
        <w:tc>
          <w:tcPr>
            <w:tcW w:w="583" w:type="dxa"/>
          </w:tcPr>
          <w:p w:rsidR="001D2CEA" w:rsidRDefault="001D2CEA" w:rsidP="00824B93">
            <w:pPr>
              <w:jc w:val="center"/>
            </w:pPr>
            <w:r>
              <w:t>X</w:t>
            </w:r>
          </w:p>
          <w:p w:rsidR="001D2CEA" w:rsidRDefault="001D2CEA" w:rsidP="00824B93">
            <w:pPr>
              <w:jc w:val="center"/>
            </w:pPr>
            <w:r>
              <w:t>X</w:t>
            </w:r>
          </w:p>
        </w:tc>
        <w:tc>
          <w:tcPr>
            <w:tcW w:w="586" w:type="dxa"/>
          </w:tcPr>
          <w:p w:rsidR="001D2CEA" w:rsidRDefault="001D2CEA" w:rsidP="00824B93">
            <w:pPr>
              <w:jc w:val="center"/>
            </w:pPr>
            <w:r>
              <w:t>X</w:t>
            </w:r>
          </w:p>
          <w:p w:rsidR="001D2CEA" w:rsidRDefault="001D2CEA" w:rsidP="00824B93">
            <w:pPr>
              <w:jc w:val="center"/>
            </w:pPr>
            <w:r>
              <w:t>X</w:t>
            </w:r>
          </w:p>
          <w:p w:rsidR="001D2CEA" w:rsidRDefault="001D2CEA" w:rsidP="00824B93">
            <w:pPr>
              <w:jc w:val="center"/>
            </w:pPr>
          </w:p>
          <w:p w:rsidR="001D2CEA" w:rsidRDefault="001D2CEA" w:rsidP="00824B93">
            <w:pPr>
              <w:jc w:val="center"/>
            </w:pPr>
            <w:r>
              <w:t>X</w:t>
            </w:r>
          </w:p>
          <w:p w:rsidR="001D2CEA" w:rsidRDefault="001D2CEA" w:rsidP="00824B93">
            <w:pPr>
              <w:jc w:val="center"/>
            </w:pPr>
            <w:r>
              <w:t>X</w:t>
            </w:r>
          </w:p>
          <w:p w:rsidR="001D2CEA" w:rsidRDefault="001D2CEA" w:rsidP="00824B93">
            <w:pPr>
              <w:jc w:val="center"/>
            </w:pPr>
          </w:p>
          <w:p w:rsidR="001D2CEA" w:rsidRDefault="001D2CEA" w:rsidP="00824B93">
            <w:pPr>
              <w:jc w:val="center"/>
            </w:pPr>
            <w:r>
              <w:t>X</w:t>
            </w:r>
          </w:p>
          <w:p w:rsidR="001D2CEA" w:rsidRDefault="001D2CEA" w:rsidP="00824B93">
            <w:pPr>
              <w:jc w:val="center"/>
            </w:pPr>
            <w:r>
              <w:t>X</w:t>
            </w:r>
          </w:p>
          <w:p w:rsidR="001D2CEA" w:rsidRDefault="001D2CEA" w:rsidP="00824B93">
            <w:pPr>
              <w:jc w:val="center"/>
            </w:pPr>
          </w:p>
        </w:tc>
      </w:tr>
      <w:tr w:rsidR="001D2CEA" w:rsidTr="00824B93">
        <w:trPr>
          <w:cantSplit/>
          <w:trHeight w:val="2268"/>
        </w:trPr>
        <w:tc>
          <w:tcPr>
            <w:tcW w:w="6475" w:type="dxa"/>
          </w:tcPr>
          <w:p w:rsidR="001D2CEA" w:rsidRDefault="001D2CEA" w:rsidP="00824B93">
            <w:pPr>
              <w:pStyle w:val="Heading1"/>
              <w:rPr>
                <w:bCs/>
                <w:caps w:val="0"/>
              </w:rPr>
            </w:pPr>
            <w:r>
              <w:rPr>
                <w:bCs/>
                <w:caps w:val="0"/>
              </w:rPr>
              <w:t>Central Authorities</w:t>
            </w:r>
          </w:p>
          <w:p w:rsidR="001D2CEA" w:rsidRDefault="001D2CEA" w:rsidP="00824B93">
            <w:r>
              <w:t xml:space="preserve">Local </w:t>
            </w:r>
            <w:proofErr w:type="spellStart"/>
            <w:r>
              <w:t>Authorites</w:t>
            </w:r>
            <w:proofErr w:type="spellEnd"/>
            <w:r>
              <w:t xml:space="preserve"> </w:t>
            </w:r>
          </w:p>
          <w:p w:rsidR="001D2CEA" w:rsidRDefault="001D2CEA" w:rsidP="00824B93"/>
        </w:tc>
        <w:tc>
          <w:tcPr>
            <w:tcW w:w="583" w:type="dxa"/>
          </w:tcPr>
          <w:p w:rsidR="001D2CEA" w:rsidRDefault="001D2CEA" w:rsidP="00824B93">
            <w:pPr>
              <w:jc w:val="center"/>
            </w:pPr>
          </w:p>
        </w:tc>
        <w:tc>
          <w:tcPr>
            <w:tcW w:w="586" w:type="dxa"/>
          </w:tcPr>
          <w:p w:rsidR="001D2CEA" w:rsidRDefault="001D2CEA" w:rsidP="00824B93">
            <w:pPr>
              <w:jc w:val="center"/>
            </w:pPr>
          </w:p>
        </w:tc>
        <w:tc>
          <w:tcPr>
            <w:tcW w:w="583" w:type="dxa"/>
          </w:tcPr>
          <w:p w:rsidR="001D2CEA" w:rsidRDefault="001D2CEA" w:rsidP="00824B93">
            <w:pPr>
              <w:jc w:val="center"/>
            </w:pPr>
          </w:p>
        </w:tc>
        <w:tc>
          <w:tcPr>
            <w:tcW w:w="586" w:type="dxa"/>
          </w:tcPr>
          <w:p w:rsidR="001D2CEA" w:rsidRDefault="001D2CEA" w:rsidP="00824B93">
            <w:pPr>
              <w:jc w:val="center"/>
            </w:pPr>
          </w:p>
          <w:p w:rsidR="001D2CEA" w:rsidRDefault="001D2CEA" w:rsidP="00824B93">
            <w:pPr>
              <w:jc w:val="center"/>
            </w:pPr>
            <w:r>
              <w:t>X</w:t>
            </w:r>
          </w:p>
        </w:tc>
      </w:tr>
    </w:tbl>
    <w:p w:rsidR="001D2CEA" w:rsidRDefault="001D2CEA" w:rsidP="001D2CEA">
      <w:pPr>
        <w:pStyle w:val="Header"/>
      </w:pPr>
      <w:r>
        <w:t>SUMMARY DESCRIPTION OF THE NATIONAL CONTINGENCY PLAN</w:t>
      </w:r>
    </w:p>
    <w:p w:rsidR="001D2CEA" w:rsidRDefault="001D2CEA" w:rsidP="001D2CEA">
      <w:pPr>
        <w:pStyle w:val="Header"/>
      </w:pPr>
      <w:r>
        <w:t xml:space="preserve">TITLE: National Oil Spill </w:t>
      </w:r>
      <w:proofErr w:type="spellStart"/>
      <w:r>
        <w:t>Contignecy</w:t>
      </w:r>
      <w:proofErr w:type="spellEnd"/>
      <w:r>
        <w:t xml:space="preserve"> Plan (NOSCOP)</w:t>
      </w:r>
    </w:p>
    <w:tbl>
      <w:tblPr>
        <w:tblW w:w="0" w:type="auto"/>
        <w:tblLook w:val="0000" w:firstRow="0" w:lastRow="0" w:firstColumn="0" w:lastColumn="0" w:noHBand="0" w:noVBand="0"/>
      </w:tblPr>
      <w:tblGrid>
        <w:gridCol w:w="8813"/>
      </w:tblGrid>
      <w:tr w:rsidR="001D2CEA" w:rsidTr="00824B93">
        <w:tc>
          <w:tcPr>
            <w:tcW w:w="8813" w:type="dxa"/>
          </w:tcPr>
          <w:p w:rsidR="001D2CEA" w:rsidRDefault="001D2CEA" w:rsidP="00824B93">
            <w:pPr>
              <w:spacing w:before="120"/>
            </w:pPr>
            <w:proofErr w:type="spellStart"/>
            <w:r>
              <w:rPr>
                <w:b/>
                <w:bCs/>
              </w:rPr>
              <w:t>Prepared:Marine</w:t>
            </w:r>
            <w:proofErr w:type="spellEnd"/>
            <w:r>
              <w:rPr>
                <w:b/>
                <w:bCs/>
              </w:rPr>
              <w:t xml:space="preserve"> Environment Protection Authority</w:t>
            </w:r>
          </w:p>
        </w:tc>
      </w:tr>
      <w:tr w:rsidR="001D2CEA" w:rsidTr="00824B93">
        <w:tc>
          <w:tcPr>
            <w:tcW w:w="8813" w:type="dxa"/>
          </w:tcPr>
          <w:p w:rsidR="001D2CEA" w:rsidRDefault="001D2CEA" w:rsidP="00824B93">
            <w:pPr>
              <w:spacing w:before="120"/>
            </w:pPr>
            <w:r>
              <w:rPr>
                <w:b/>
                <w:bCs/>
              </w:rPr>
              <w:t>Became Effective (year):2004</w:t>
            </w:r>
          </w:p>
        </w:tc>
      </w:tr>
    </w:tbl>
    <w:p w:rsidR="001D2CEA" w:rsidRDefault="001D2CEA" w:rsidP="001D2CEA">
      <w:pPr>
        <w:pStyle w:val="Header"/>
      </w:pPr>
      <w:r>
        <w:t>SCOPE</w:t>
      </w:r>
    </w:p>
    <w:tbl>
      <w:tblPr>
        <w:tblW w:w="0" w:type="auto"/>
        <w:tblLook w:val="0000" w:firstRow="0" w:lastRow="0" w:firstColumn="0" w:lastColumn="0" w:noHBand="0" w:noVBand="0"/>
      </w:tblPr>
      <w:tblGrid>
        <w:gridCol w:w="8813"/>
      </w:tblGrid>
      <w:tr w:rsidR="001D2CEA" w:rsidTr="00824B93">
        <w:tc>
          <w:tcPr>
            <w:tcW w:w="8813" w:type="dxa"/>
          </w:tcPr>
          <w:p w:rsidR="001D2CEA" w:rsidRDefault="001D2CEA" w:rsidP="00824B93">
            <w:pPr>
              <w:spacing w:before="120"/>
              <w:rPr>
                <w:b/>
                <w:bCs/>
              </w:rPr>
            </w:pPr>
            <w:r>
              <w:rPr>
                <w:b/>
                <w:bCs/>
              </w:rPr>
              <w:t>Geographical Coverage:</w:t>
            </w:r>
          </w:p>
          <w:p w:rsidR="001D2CEA" w:rsidRDefault="001D2CEA" w:rsidP="00824B93">
            <w:pPr>
              <w:spacing w:before="120"/>
              <w:rPr>
                <w:b/>
                <w:bCs/>
              </w:rPr>
            </w:pPr>
            <w:r>
              <w:t>The NOSCOP applies to oil spills which cause or could cause damage to the environment covering coastal area and the sea. It applies to the waters, which are under the jurisdiction of Sri Lanka for pollution preventions purposes, including the EEZ or pollution zone and the territorial sea. 1.2.2 The area of response extends to high seas where the oil spill has the potential to harm Sri Lanka’s interests like beaches, estuaries and other areas connected to the sea in terms of power of intervention, under the Intervention Convention of 1969.</w:t>
            </w:r>
            <w:r>
              <w:rPr>
                <w:b/>
                <w:bCs/>
              </w:rPr>
              <w:tab/>
            </w:r>
          </w:p>
          <w:p w:rsidR="001D2CEA" w:rsidRDefault="001D2CEA" w:rsidP="00824B93">
            <w:pPr>
              <w:spacing w:before="120"/>
              <w:rPr>
                <w:b/>
                <w:bCs/>
              </w:rPr>
            </w:pPr>
          </w:p>
          <w:p w:rsidR="001D2CEA" w:rsidRDefault="001D2CEA" w:rsidP="00824B93">
            <w:pPr>
              <w:spacing w:before="120"/>
              <w:rPr>
                <w:b/>
                <w:bCs/>
              </w:rPr>
            </w:pPr>
            <w:r>
              <w:rPr>
                <w:b/>
                <w:bCs/>
                <w:noProof/>
                <w:lang w:val="en-US" w:bidi="si-LK"/>
              </w:rPr>
              <w:lastRenderedPageBreak/>
              <w:drawing>
                <wp:inline distT="0" distB="0" distL="0" distR="0">
                  <wp:extent cx="3076575" cy="3291205"/>
                  <wp:effectExtent l="0" t="0" r="952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3291205"/>
                          </a:xfrm>
                          <a:prstGeom prst="rect">
                            <a:avLst/>
                          </a:prstGeom>
                          <a:noFill/>
                          <a:ln>
                            <a:noFill/>
                          </a:ln>
                          <a:effectLst/>
                        </pic:spPr>
                      </pic:pic>
                    </a:graphicData>
                  </a:graphic>
                </wp:inline>
              </w:drawing>
            </w:r>
          </w:p>
          <w:p w:rsidR="001D2CEA" w:rsidRDefault="001D2CEA" w:rsidP="00824B93">
            <w:pPr>
              <w:spacing w:before="120"/>
            </w:pPr>
          </w:p>
        </w:tc>
      </w:tr>
      <w:tr w:rsidR="001D2CEA" w:rsidTr="00824B93">
        <w:tc>
          <w:tcPr>
            <w:tcW w:w="8813" w:type="dxa"/>
          </w:tcPr>
          <w:p w:rsidR="001D2CEA" w:rsidRDefault="001D2CEA" w:rsidP="00824B93">
            <w:pPr>
              <w:spacing w:before="120"/>
            </w:pPr>
            <w:r>
              <w:rPr>
                <w:b/>
                <w:bCs/>
              </w:rPr>
              <w:lastRenderedPageBreak/>
              <w:t xml:space="preserve">Applicable to Pollution by: Oil  ( Hydrocarbon) </w:t>
            </w:r>
          </w:p>
        </w:tc>
      </w:tr>
      <w:tr w:rsidR="001D2CEA" w:rsidTr="00824B93">
        <w:tc>
          <w:tcPr>
            <w:tcW w:w="8813" w:type="dxa"/>
          </w:tcPr>
          <w:p w:rsidR="001D2CEA" w:rsidRPr="00264F5A" w:rsidRDefault="001D2CEA" w:rsidP="00824B93">
            <w:pPr>
              <w:spacing w:before="120"/>
              <w:rPr>
                <w:b/>
                <w:bCs/>
              </w:rPr>
            </w:pPr>
            <w:r>
              <w:rPr>
                <w:b/>
                <w:bCs/>
              </w:rPr>
              <w:t xml:space="preserve">Levels of Emergency: </w:t>
            </w:r>
            <w:r w:rsidRPr="00264F5A">
              <w:rPr>
                <w:b/>
                <w:bCs/>
              </w:rPr>
              <w:t xml:space="preserve">Oil spill risks and the responses they require could be classified into three Tiers according to the size of the spills and the proximity to a response centre. </w:t>
            </w:r>
            <w:r>
              <w:rPr>
                <w:b/>
                <w:bCs/>
              </w:rPr>
              <w:t xml:space="preserve"> </w:t>
            </w:r>
            <w:r w:rsidRPr="00264F5A">
              <w:rPr>
                <w:b/>
                <w:bCs/>
              </w:rPr>
              <w:t xml:space="preserve">Three levels of tiered responses are defined according to the following spill scenarios: </w:t>
            </w:r>
          </w:p>
          <w:p w:rsidR="001D2CEA" w:rsidRPr="00264F5A" w:rsidRDefault="001D2CEA" w:rsidP="00824B93">
            <w:pPr>
              <w:spacing w:before="120"/>
              <w:rPr>
                <w:b/>
                <w:bCs/>
              </w:rPr>
            </w:pPr>
            <w:r w:rsidRPr="00264F5A">
              <w:rPr>
                <w:b/>
                <w:bCs/>
              </w:rPr>
              <w:t xml:space="preserve">Tier I - up to 50 tones – a relatively small spill requiring local responses using local resources and own capabilities according to local “oil pollution emergency plan”, e.g.; bunkering operations; ship transfer. </w:t>
            </w:r>
          </w:p>
          <w:p w:rsidR="001D2CEA" w:rsidRPr="00264F5A" w:rsidRDefault="001D2CEA" w:rsidP="00824B93">
            <w:pPr>
              <w:spacing w:before="120"/>
              <w:rPr>
                <w:b/>
                <w:bCs/>
              </w:rPr>
            </w:pPr>
            <w:r w:rsidRPr="00264F5A">
              <w:rPr>
                <w:b/>
                <w:bCs/>
              </w:rPr>
              <w:t xml:space="preserve">Certain specified locations and associated management institutions such as Ports, harbour terminals, repair yards of ships, dry docks, off shore installations dealing with oil, pipe lines or any other apparatus used for transferring oil to, or from a ship to have their own Oil Spill Contingency Plans (OSCOP) capable of handling oil spillage (Tier I) arising from causes most proximate to that institution. Each such contingency plan must be consistent in strategy with that of the National Oil Spill Contingency Plan </w:t>
            </w:r>
          </w:p>
          <w:p w:rsidR="001D2CEA" w:rsidRPr="00264F5A" w:rsidRDefault="001D2CEA" w:rsidP="00824B93">
            <w:pPr>
              <w:spacing w:before="120"/>
              <w:rPr>
                <w:b/>
                <w:bCs/>
              </w:rPr>
            </w:pPr>
            <w:r w:rsidRPr="00264F5A">
              <w:rPr>
                <w:b/>
                <w:bCs/>
              </w:rPr>
              <w:t xml:space="preserve">The Combat Agency  </w:t>
            </w:r>
          </w:p>
          <w:p w:rsidR="001D2CEA" w:rsidRPr="00264F5A" w:rsidRDefault="001D2CEA" w:rsidP="00824B93">
            <w:pPr>
              <w:spacing w:before="120"/>
              <w:rPr>
                <w:b/>
                <w:bCs/>
              </w:rPr>
            </w:pPr>
            <w:r w:rsidRPr="00264F5A">
              <w:rPr>
                <w:b/>
                <w:bCs/>
              </w:rPr>
              <w:t xml:space="preserve">(Potential polluters) will generally be able to respond to and clean up a spill utilizing local resources. In cases where additional resources are required` these will generally be available from the local port authority, or by utilizing National Plan resources in the region or from adjacent industry operators under mutual aid arrangements. </w:t>
            </w:r>
          </w:p>
          <w:p w:rsidR="001D2CEA" w:rsidRPr="00264F5A" w:rsidRDefault="001D2CEA" w:rsidP="00824B93">
            <w:pPr>
              <w:spacing w:before="120"/>
              <w:rPr>
                <w:b/>
                <w:bCs/>
              </w:rPr>
            </w:pPr>
            <w:r w:rsidRPr="00264F5A">
              <w:rPr>
                <w:b/>
                <w:bCs/>
              </w:rPr>
              <w:t xml:space="preserve">Tier II: between 50-100 tones – a medium spill that requires implementation of the national oil spill contingency plan.  This operates with local and additional external resources area plans or industry mutual help plans pooled resources.  Spill is to consist of a larger volume of oil that may occur in the vicinity of a response centre or smaller spills at distant locations for which resources from several sources may be required; for </w:t>
            </w:r>
            <w:r w:rsidRPr="00264F5A">
              <w:rPr>
                <w:b/>
                <w:bCs/>
              </w:rPr>
              <w:lastRenderedPageBreak/>
              <w:t xml:space="preserve">instance industry and governmental resources. </w:t>
            </w:r>
          </w:p>
          <w:p w:rsidR="001D2CEA" w:rsidRDefault="001D2CEA" w:rsidP="00824B93">
            <w:pPr>
              <w:spacing w:before="120"/>
            </w:pPr>
            <w:r w:rsidRPr="00264F5A">
              <w:rPr>
                <w:b/>
                <w:bCs/>
              </w:rPr>
              <w:t>Tier III - above 100 tones – a large spill requiring international assistance. This includes spills of national interest for which a national contingency plan with international cooperation will be required. Tier III response is dimensioned for large tanker accidents or offshore blowouts where arrangements will usually call for the entire oil spill response resources in a nation and extending it for international assistance. The response plan for such a spill will usually be part of the National Emergency Response Plan</w:t>
            </w:r>
          </w:p>
        </w:tc>
      </w:tr>
    </w:tbl>
    <w:p w:rsidR="001D2CEA" w:rsidRDefault="001D2CEA" w:rsidP="001D2CEA">
      <w:pPr>
        <w:pStyle w:val="Header"/>
      </w:pPr>
      <w:r>
        <w:lastRenderedPageBreak/>
        <w:t>RESPONSIBILITIES</w:t>
      </w:r>
    </w:p>
    <w:p w:rsidR="001D2CEA" w:rsidRDefault="001D2CEA" w:rsidP="001D2CEA">
      <w:pPr>
        <w:pStyle w:val="Footer"/>
        <w:tabs>
          <w:tab w:val="clear" w:pos="4153"/>
          <w:tab w:val="clear" w:pos="8306"/>
        </w:tabs>
        <w:spacing w:before="120"/>
      </w:pPr>
      <w:r>
        <w:t>According to administrative division (geographically)</w:t>
      </w:r>
    </w:p>
    <w:p w:rsidR="001D2CEA" w:rsidRDefault="001D2CEA" w:rsidP="001D2CEA">
      <w:pPr>
        <w:pStyle w:val="Footer"/>
        <w:tabs>
          <w:tab w:val="clear" w:pos="4153"/>
          <w:tab w:val="clear" w:pos="8306"/>
        </w:tabs>
        <w:spacing w:before="120"/>
      </w:pPr>
      <w:r>
        <w:t xml:space="preserve">Marine Environment Protection Authority </w:t>
      </w:r>
      <w:proofErr w:type="gramStart"/>
      <w:r>
        <w:t>is  responsible</w:t>
      </w:r>
      <w:proofErr w:type="gramEnd"/>
      <w:r>
        <w:t xml:space="preserve"> for  implementation of the Plan as when necessary with the help of other agencies. MEPA as the Lead </w:t>
      </w:r>
      <w:proofErr w:type="spellStart"/>
      <w:r>
        <w:t>Ageny</w:t>
      </w:r>
      <w:proofErr w:type="spellEnd"/>
      <w:r>
        <w:t xml:space="preserve"> should formulate and implement the plan in the event of oil spills with support of other agencies in the event of oil spill in Exclusive economic Zone of Sri Lanka.</w:t>
      </w:r>
    </w:p>
    <w:p w:rsidR="001D2CEA" w:rsidRDefault="001D2CEA" w:rsidP="001D2CEA">
      <w:pPr>
        <w:pStyle w:val="Footer"/>
        <w:tabs>
          <w:tab w:val="clear" w:pos="4153"/>
          <w:tab w:val="clear" w:pos="8306"/>
        </w:tabs>
        <w:spacing w:before="120"/>
      </w:pPr>
    </w:p>
    <w:p w:rsidR="001D2CEA" w:rsidRDefault="001D2CEA" w:rsidP="001D2CEA">
      <w:pPr>
        <w:pStyle w:val="Footer"/>
        <w:tabs>
          <w:tab w:val="clear" w:pos="4153"/>
          <w:tab w:val="clear" w:pos="8306"/>
        </w:tabs>
        <w:spacing w:before="120"/>
      </w:pPr>
      <w:r>
        <w:rPr>
          <w:noProof/>
          <w:lang w:val="en-US" w:bidi="si-LK"/>
        </w:rPr>
        <w:drawing>
          <wp:inline distT="0" distB="0" distL="0" distR="0">
            <wp:extent cx="4267200"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a:effectLst/>
                  </pic:spPr>
                </pic:pic>
              </a:graphicData>
            </a:graphic>
          </wp:inline>
        </w:drawing>
      </w:r>
    </w:p>
    <w:p w:rsidR="001D2CEA" w:rsidRDefault="001D2CEA" w:rsidP="001D2CEA">
      <w:pPr>
        <w:pStyle w:val="Footer"/>
        <w:tabs>
          <w:tab w:val="clear" w:pos="4153"/>
          <w:tab w:val="clear" w:pos="8306"/>
        </w:tabs>
        <w:spacing w:before="120"/>
      </w:pPr>
      <w:r>
        <w:t xml:space="preserve">The above chart indicates the oil spill response organization. Accordingly if any major (Tier 11, or 111 level) oil spill occurs in Sri Lankan waters, Director NOSOP (MEPA) will appoint Incident commander to take necessary action to response oil spill. The Incident Management Team will be gathered to the Operation room to assist the Incident Commander to prepare Incident Action Plan. There are two </w:t>
      </w:r>
      <w:proofErr w:type="gramStart"/>
      <w:r>
        <w:t>On</w:t>
      </w:r>
      <w:proofErr w:type="gramEnd"/>
      <w:r>
        <w:t xml:space="preserve"> scene commanders to give commander to offshore oil spill combat teams and onshore oil spill combat teams. There will be a team leaders in all combat team to lead the team. </w:t>
      </w:r>
    </w:p>
    <w:p w:rsidR="001D2CEA" w:rsidRDefault="001D2CEA" w:rsidP="001D2CEA">
      <w:pPr>
        <w:pStyle w:val="Footer"/>
        <w:tabs>
          <w:tab w:val="clear" w:pos="4153"/>
          <w:tab w:val="clear" w:pos="8306"/>
        </w:tabs>
        <w:spacing w:before="120"/>
      </w:pPr>
      <w:r>
        <w:t>The combat team in offshore areas to be comprised by officers in following agencies</w:t>
      </w:r>
    </w:p>
    <w:p w:rsidR="001D2CEA" w:rsidRDefault="001D2CEA" w:rsidP="001D2CEA">
      <w:pPr>
        <w:pStyle w:val="Footer"/>
        <w:tabs>
          <w:tab w:val="clear" w:pos="4153"/>
          <w:tab w:val="clear" w:pos="8306"/>
        </w:tabs>
        <w:spacing w:before="120"/>
      </w:pPr>
      <w:r>
        <w:t>Sri Lanka Navy</w:t>
      </w:r>
    </w:p>
    <w:p w:rsidR="001D2CEA" w:rsidRDefault="001D2CEA" w:rsidP="001D2CEA">
      <w:pPr>
        <w:pStyle w:val="Footer"/>
        <w:tabs>
          <w:tab w:val="clear" w:pos="4153"/>
          <w:tab w:val="clear" w:pos="8306"/>
        </w:tabs>
        <w:spacing w:before="120"/>
      </w:pPr>
      <w:r>
        <w:t>Sri Lanka Coast Guard</w:t>
      </w:r>
    </w:p>
    <w:p w:rsidR="001D2CEA" w:rsidRDefault="001D2CEA" w:rsidP="001D2CEA">
      <w:pPr>
        <w:pStyle w:val="Footer"/>
        <w:tabs>
          <w:tab w:val="clear" w:pos="4153"/>
          <w:tab w:val="clear" w:pos="8306"/>
        </w:tabs>
        <w:spacing w:before="120"/>
      </w:pPr>
      <w:r>
        <w:lastRenderedPageBreak/>
        <w:t>Sri Lanka Ports Authority</w:t>
      </w:r>
    </w:p>
    <w:p w:rsidR="001D2CEA" w:rsidRDefault="001D2CEA" w:rsidP="001D2CEA">
      <w:pPr>
        <w:pStyle w:val="Footer"/>
        <w:tabs>
          <w:tab w:val="clear" w:pos="4153"/>
          <w:tab w:val="clear" w:pos="8306"/>
        </w:tabs>
        <w:spacing w:before="120"/>
      </w:pPr>
      <w:r>
        <w:t xml:space="preserve">Ceylon Petroleum Cooperation </w:t>
      </w:r>
      <w:proofErr w:type="gramStart"/>
      <w:r>
        <w:t>and  Ceylon</w:t>
      </w:r>
      <w:proofErr w:type="gramEnd"/>
      <w:r>
        <w:t xml:space="preserve"> Petroleum Storage Terminal Limited.</w:t>
      </w:r>
    </w:p>
    <w:p w:rsidR="001D2CEA" w:rsidRDefault="001D2CEA" w:rsidP="001D2CEA">
      <w:pPr>
        <w:pStyle w:val="Footer"/>
        <w:tabs>
          <w:tab w:val="clear" w:pos="4153"/>
          <w:tab w:val="clear" w:pos="8306"/>
        </w:tabs>
        <w:spacing w:before="120"/>
      </w:pPr>
      <w:r>
        <w:t xml:space="preserve">And Oil companies </w:t>
      </w:r>
    </w:p>
    <w:p w:rsidR="001D2CEA" w:rsidRDefault="001D2CEA" w:rsidP="001D2CEA">
      <w:pPr>
        <w:pStyle w:val="Footer"/>
        <w:tabs>
          <w:tab w:val="clear" w:pos="4153"/>
          <w:tab w:val="clear" w:pos="8306"/>
        </w:tabs>
        <w:spacing w:before="120"/>
      </w:pPr>
      <w:r>
        <w:t>According to administrative hierarchy (decision-making)</w:t>
      </w:r>
    </w:p>
    <w:p w:rsidR="001D2CEA" w:rsidRDefault="001D2CEA" w:rsidP="001D2CEA">
      <w:pPr>
        <w:pStyle w:val="Footer"/>
        <w:tabs>
          <w:tab w:val="clear" w:pos="4153"/>
          <w:tab w:val="clear" w:pos="8306"/>
        </w:tabs>
        <w:spacing w:before="120"/>
      </w:pPr>
    </w:p>
    <w:p w:rsidR="001D2CEA" w:rsidRDefault="001D2CEA" w:rsidP="001D2CEA">
      <w:pPr>
        <w:pStyle w:val="Footer"/>
        <w:tabs>
          <w:tab w:val="clear" w:pos="4153"/>
          <w:tab w:val="clear" w:pos="8306"/>
        </w:tabs>
        <w:spacing w:before="120"/>
      </w:pPr>
      <w:r>
        <w:t>General Manager of MEPA is the Director of NOSCOP. In the event of oil spill he will nominate  Incident Commander. Incident commander is responsible for manage overall response.</w:t>
      </w:r>
    </w:p>
    <w:p w:rsidR="001D2CEA" w:rsidRDefault="001D2CEA" w:rsidP="001D2CEA">
      <w:pPr>
        <w:pStyle w:val="Footer"/>
        <w:tabs>
          <w:tab w:val="clear" w:pos="4153"/>
          <w:tab w:val="clear" w:pos="8306"/>
        </w:tabs>
        <w:spacing w:before="120"/>
      </w:pPr>
    </w:p>
    <w:p w:rsidR="001D2CEA" w:rsidRDefault="001D2CEA" w:rsidP="001D2CEA">
      <w:pPr>
        <w:pStyle w:val="Footer"/>
        <w:tabs>
          <w:tab w:val="clear" w:pos="4153"/>
          <w:tab w:val="clear" w:pos="8306"/>
        </w:tabs>
        <w:spacing w:before="120"/>
      </w:pPr>
    </w:p>
    <w:p w:rsidR="001D2CEA" w:rsidRDefault="001D2CEA" w:rsidP="001D2CEA">
      <w:pPr>
        <w:pStyle w:val="Footer"/>
        <w:tabs>
          <w:tab w:val="clear" w:pos="4153"/>
          <w:tab w:val="clear" w:pos="8306"/>
        </w:tabs>
        <w:spacing w:before="120"/>
      </w:pPr>
    </w:p>
    <w:p w:rsidR="001D2CEA" w:rsidRDefault="001D2CEA" w:rsidP="001D2CEA">
      <w:pPr>
        <w:pStyle w:val="Footer"/>
        <w:tabs>
          <w:tab w:val="clear" w:pos="4153"/>
          <w:tab w:val="clear" w:pos="8306"/>
        </w:tabs>
        <w:spacing w:before="120"/>
      </w:pPr>
    </w:p>
    <w:p w:rsidR="001D2CEA" w:rsidRDefault="001D2CEA" w:rsidP="001D2CEA">
      <w:pPr>
        <w:pStyle w:val="Footer"/>
        <w:spacing w:before="120"/>
        <w:jc w:val="center"/>
      </w:pPr>
      <w:r>
        <w:t>Director NOSCOP</w:t>
      </w:r>
    </w:p>
    <w:p w:rsidR="001D2CEA" w:rsidRDefault="001D2CEA" w:rsidP="001D2CEA">
      <w:pPr>
        <w:pStyle w:val="Footer"/>
        <w:tabs>
          <w:tab w:val="clear" w:pos="4153"/>
          <w:tab w:val="clear" w:pos="8306"/>
        </w:tabs>
        <w:spacing w:before="120"/>
      </w:pPr>
      <w:r>
        <w:rPr>
          <w:noProof/>
          <w:lang w:val="en-US" w:bidi="si-LK"/>
        </w:rPr>
        <mc:AlternateContent>
          <mc:Choice Requires="wps">
            <w:drawing>
              <wp:anchor distT="0" distB="0" distL="114300" distR="114300" simplePos="0" relativeHeight="251659264" behindDoc="0" locked="0" layoutInCell="1" allowOverlap="1">
                <wp:simplePos x="0" y="0"/>
                <wp:positionH relativeFrom="column">
                  <wp:posOffset>2611755</wp:posOffset>
                </wp:positionH>
                <wp:positionV relativeFrom="paragraph">
                  <wp:posOffset>25400</wp:posOffset>
                </wp:positionV>
                <wp:extent cx="0" cy="314325"/>
                <wp:effectExtent l="57150" t="12700" r="57150"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EF3322" id="_x0000_t32" coordsize="21600,21600" o:spt="32" o:oned="t" path="m,l21600,21600e" filled="f">
                <v:path arrowok="t" fillok="f" o:connecttype="none"/>
                <o:lock v:ext="edit" shapetype="t"/>
              </v:shapetype>
              <v:shape id="Straight Arrow Connector 4" o:spid="_x0000_s1026" type="#_x0000_t32" style="position:absolute;margin-left:205.65pt;margin-top:2pt;width:0;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zcNwIAAGsEAAAOAAAAZHJzL2Uyb0RvYy54bWysVMtu2zAQvBfoPxC8O7JsJXUEy0Eg2b2k&#10;TYCkH0CTlEWU4hIkY9ko+u9d0rLbtJeiqA/08rGzs8OhlneHXpO9dF6BqWh+NaVEGg5CmV1Fv7xs&#10;JgtKfGBGMA1GVvQoPb1bvX+3HGwpZ9CBFtIRBDG+HGxFuxBsmWWed7Jn/gqsNLjZgutZwKnbZcKx&#10;AdF7nc2m05tsACesAy69x9XmtElXCb9tJQ+PbetlILqiyC2k0aVxG8dstWTlzjHbKT7SYP/AomfK&#10;YNELVMMCI69O/QHVK+7AQxuuOPQZtK3iMvWA3eTT37p57piVqRcUx9uLTP7/wfLP+ydHlKhoQYlh&#10;PV7Rc3BM7bpA7p2DgdRgDMoIjhRRrcH6EpNq8+Riv/xgnu0D8K+eGKg7ZnYysX45WoTKY0b2JiVO&#10;vMWa2+ETCDzDXgMk6Q6t6yMkikIO6YaOlxuSh0D4aZHj6jwv5rPrBM7Kc551PnyU0JMYVNSPbVz4&#10;56kK2z/4EFmx8pwQixrYKK2TG7QhQ0Vvr7FA3PGglYibaeJ221o7smfRT+k3snhzzMGrEQmsk0ys&#10;xzgwpTEmIWkTnEK1tKSxWi8FJVriE4rRiZ42sSJ2joTH6GSpb7fT2/VivSgmxexmPSmmTTO539TF&#10;5GaTf7hu5k1dN/n3SD4vyk4JIU3kf7Z3XvydfcaHdjLmxeAXobK36ElRJHv+T6TT1cfbPvlmC+L4&#10;5GJ30QXo6HR4fH3xyfw6T6d+fiNWPwAAAP//AwBQSwMEFAAGAAgAAAAhACdq23beAAAACAEAAA8A&#10;AABkcnMvZG93bnJldi54bWxMj8FOwzAQRO9I/IO1SNyoE0qjEuJUQIXIpUi0FeLoxktiEa+j2G1T&#10;vp5FHOC2oxnNvikWo+vEAYdgPSlIJwkIpNobS42C7ebpag4iRE1Gd55QwQkDLMrzs0Lnxh/pFQ/r&#10;2AguoZBrBW2MfS5lqFt0Okx8j8Tehx+cjiyHRppBH7ncdfI6STLptCX+0OoeH1usP9d7pyAu309t&#10;9lY/3NqXzfMqs19VVS2VurwY7+9ARBzjXxh+8BkdSmba+T2ZIDoFN2k65SgfPIn9X71TMJvOQJaF&#10;/D+g/AYAAP//AwBQSwECLQAUAAYACAAAACEAtoM4kv4AAADhAQAAEwAAAAAAAAAAAAAAAAAAAAAA&#10;W0NvbnRlbnRfVHlwZXNdLnhtbFBLAQItABQABgAIAAAAIQA4/SH/1gAAAJQBAAALAAAAAAAAAAAA&#10;AAAAAC8BAABfcmVscy8ucmVsc1BLAQItABQABgAIAAAAIQB8xOzcNwIAAGsEAAAOAAAAAAAAAAAA&#10;AAAAAC4CAABkcnMvZTJvRG9jLnhtbFBLAQItABQABgAIAAAAIQAnatt23gAAAAgBAAAPAAAAAAAA&#10;AAAAAAAAAJEEAABkcnMvZG93bnJldi54bWxQSwUGAAAAAAQABADzAAAAnAUAAAAA&#10;">
                <v:stroke endarrow="block"/>
              </v:shape>
            </w:pict>
          </mc:Fallback>
        </mc:AlternateContent>
      </w:r>
    </w:p>
    <w:p w:rsidR="001D2CEA" w:rsidRDefault="001D2CEA" w:rsidP="001D2CEA">
      <w:pPr>
        <w:pStyle w:val="Footer"/>
        <w:spacing w:before="120"/>
        <w:jc w:val="center"/>
      </w:pPr>
      <w:r>
        <w:t>Incident Commander</w:t>
      </w:r>
    </w:p>
    <w:p w:rsidR="001D2CEA" w:rsidRDefault="001D2CEA" w:rsidP="001D2CEA">
      <w:pPr>
        <w:pStyle w:val="Footer"/>
        <w:spacing w:before="240"/>
        <w:jc w:val="center"/>
      </w:pPr>
      <w:r>
        <w:rPr>
          <w:noProof/>
          <w:lang w:val="en-US" w:bidi="si-LK"/>
        </w:rPr>
        <mc:AlternateContent>
          <mc:Choice Requires="wps">
            <w:drawing>
              <wp:anchor distT="0" distB="0" distL="114300" distR="114300" simplePos="0" relativeHeight="251660288" behindDoc="0" locked="0" layoutInCell="1" allowOverlap="1">
                <wp:simplePos x="0" y="0"/>
                <wp:positionH relativeFrom="column">
                  <wp:posOffset>2668905</wp:posOffset>
                </wp:positionH>
                <wp:positionV relativeFrom="paragraph">
                  <wp:posOffset>29210</wp:posOffset>
                </wp:positionV>
                <wp:extent cx="0" cy="314325"/>
                <wp:effectExtent l="57150" t="9525" r="571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F51E7B" id="Straight Arrow Connector 3" o:spid="_x0000_s1026" type="#_x0000_t32" style="position:absolute;margin-left:210.15pt;margin-top:2.3pt;width:0;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w1NwIAAGsEAAAOAAAAZHJzL2Uyb0RvYy54bWysVMtu2zAQvBfoPxC8O7JsOU2EyEEg2b2k&#10;TYCkH0CTlEWU4hIkbdko+u9d0rLbtJeiqA/08rGzs8Oh7u4PvSZ76bwCU9H8akqJNByEMtuKfnld&#10;T24o8YEZwTQYWdGj9PR++f7d3WBLOYMOtJCOIIjx5WAr2oVgyyzzvJM981dgpcHNFlzPAk7dNhOO&#10;DYje62w2nV5nAzhhHXDpPa42p026TPhtK3l4alsvA9EVRW4hjS6NmzhmyztWbh2zneIjDfYPLHqm&#10;DBa9QDUsMLJz6g+oXnEHHtpwxaHPoG0Vl6kH7Caf/tbNS8esTL2gON5eZPL/D5Z/3j87okRF55QY&#10;1uMVvQTH1LYL5ME5GEgNxqCM4Mg8qjVYX2JSbZ5d7JcfzIt9BP7VEwN1x8xWJtavR4tQeczI3qTE&#10;ibdYczN8AoFn2C5Aku7Quj5CoijkkG7oeLkheQiEnxY5rs7zYj5bJHBWnvOs8+GjhJ7EoKJ+bOPC&#10;P09V2P7Rh8iKleeEWNTAWmmd3KANGSp6u8ACcceDViJuponbbmrtyJ5FP6XfyOLNMQc7IxJYJ5lY&#10;jXFgSmNMQtImOIVqaUljtV4KSrTEJxSjEz1tYkXsHAmP0clS326nt6ub1U0xKWbXq0kxbZrJw7ou&#10;Jtfr/MOimTd13eTfI/m8KDslhDSR/9neefF39hkf2smYF4NfhMreoidFkez5P5FOVx9v++SbDYjj&#10;s4vdRRego9Ph8fXFJ/PrPJ36+Y1Y/gAAAP//AwBQSwMEFAAGAAgAAAAhACzmaQbeAAAACAEAAA8A&#10;AABkcnMvZG93bnJldi54bWxMj8FOwzAQRO9I/IO1SNyo01IiCHEqoELkUiRahDi68RJbxOsodtuU&#10;r2cRB7jtaEazb8rF6DuxxyG6QAqmkwwEUhOMo1bB6+bx4hpETJqM7gKhgiNGWFSnJ6UuTDjQC+7X&#10;qRVcQrHQCmxKfSFlbCx6HSehR2LvIwxeJ5ZDK82gD1zuOznLslx67Yg/WN3jg8Xmc73zCtLy/Wjz&#10;t+b+xj1vnla5+6rreqnU+dl4dwsi4Zj+wvCDz+hQMdM27MhE0SmYz7JLjvKRg2D/V28VXM2nIKtS&#10;/h9QfQMAAP//AwBQSwECLQAUAAYACAAAACEAtoM4kv4AAADhAQAAEwAAAAAAAAAAAAAAAAAAAAAA&#10;W0NvbnRlbnRfVHlwZXNdLnhtbFBLAQItABQABgAIAAAAIQA4/SH/1gAAAJQBAAALAAAAAAAAAAAA&#10;AAAAAC8BAABfcmVscy8ucmVsc1BLAQItABQABgAIAAAAIQDBytw1NwIAAGsEAAAOAAAAAAAAAAAA&#10;AAAAAC4CAABkcnMvZTJvRG9jLnhtbFBLAQItABQABgAIAAAAIQAs5mkG3gAAAAgBAAAPAAAAAAAA&#10;AAAAAAAAAJEEAABkcnMvZG93bnJldi54bWxQSwUGAAAAAAQABADzAAAAnAUAAAAA&#10;">
                <v:stroke endarrow="block"/>
              </v:shape>
            </w:pict>
          </mc:Fallback>
        </mc:AlternateContent>
      </w:r>
    </w:p>
    <w:p w:rsidR="001D2CEA" w:rsidRDefault="001D2CEA" w:rsidP="001D2CEA">
      <w:pPr>
        <w:pStyle w:val="Footer"/>
        <w:spacing w:before="240"/>
        <w:jc w:val="center"/>
      </w:pPr>
      <w:r>
        <w:t>(Incident Management team</w:t>
      </w:r>
    </w:p>
    <w:p w:rsidR="001D2CEA" w:rsidRDefault="001D2CEA" w:rsidP="001D2CEA">
      <w:pPr>
        <w:pStyle w:val="Footer"/>
        <w:spacing w:before="240"/>
        <w:jc w:val="center"/>
      </w:pPr>
      <w:r>
        <w:t>On Scene Commanders ( Land and Sea)</w:t>
      </w:r>
    </w:p>
    <w:p w:rsidR="001D2CEA" w:rsidRDefault="001D2CEA" w:rsidP="001D2CEA">
      <w:pPr>
        <w:pStyle w:val="Footer"/>
        <w:spacing w:before="240"/>
        <w:jc w:val="center"/>
      </w:pPr>
      <w:r>
        <w:rPr>
          <w:noProof/>
          <w:lang w:val="en-US" w:bidi="si-LK"/>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108585</wp:posOffset>
                </wp:positionV>
                <wp:extent cx="0" cy="379095"/>
                <wp:effectExtent l="55245" t="12065" r="59055"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9D750D" id="Straight Arrow Connector 2" o:spid="_x0000_s1026" type="#_x0000_t32" style="position:absolute;margin-left:213.75pt;margin-top:8.55pt;width:0;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0CNwIAAGsEAAAOAAAAZHJzL2Uyb0RvYy54bWysVMGO2jAQvVfqP1i+syEs7EK0YbVKoJdt&#10;i8T2A4ztEKuOx7K9BFT13zs2gXbbS1WVgxnbM2/ezDzn4fHYaXKQziswJc1vxpRIw0Eosy/pl5f1&#10;aE6JD8wIpsHIkp6kp4/L9+8eelvICbSghXQEQYwvelvSNgRbZJnnreyYvwErDV424DoWcOv2mXCs&#10;R/ROZ5Px+C7rwQnrgEvv8bQ+X9Jlwm8aycPnpvEyEF1S5BbS6tK6i2u2fGDF3jHbKj7QYP/AomPK&#10;YNIrVM0CI69O/QHVKe7AQxNuOHQZNI3iMtWA1eTj36rZtszKVAs2x9trm/z/g+WfDhtHlCjphBLD&#10;OhzRNjim9m0gT85BTyowBtsIjkxit3rrCwyqzMbFevnRbO0z8K+eGKhaZvYysX45WYTKY0T2JiRu&#10;vMWcu/4jCPRhrwFS646N6yIkNoUc04RO1wnJYyD8fMjx9PZ+MV7MEjgrLnHW+fBBQkeiUVI/lHHl&#10;n6cs7PDsQ2TFiktATGpgrbROatCG9CVdzCazFOBBKxEvo5t3+12lHTmwqKf0G1i8cXPwakQCayUT&#10;q8EOTGm0SUi9CU5ht7SkMVsnBSVa4hOK1pmeNjEjVo6EB+ssqW9Y/Gq+mk9H08ndajQd1/XoaV1N&#10;R3fr/H5W39ZVVeffI/l8WrRKCGki/4u88+nfyWd4aGdhXgV+bVT2Fj11FMle/hPpNPo47bNudiBO&#10;GxeriypARSfn4fXFJ/PrPnn9/EYsfwAAAP//AwBQSwMEFAAGAAgAAAAhANoGAL3fAAAACQEAAA8A&#10;AABkcnMvZG93bnJldi54bWxMj8FOwzAMhu9IvENkJG4s3QTtKE0nYEL0AtI2hDhmjWkjGqdqsq3j&#10;6THiwI72/+n352Ixuk7scQjWk4LpJAGBVHtjqVHwtnm6moMIUZPRnSdUcMQAi/L8rNC58Qda4X4d&#10;G8ElFHKtoI2xz6UMdYtOh4nvkTj79IPTkcehkWbQBy53nZwlSSqdtsQXWt3jY4v113rnFMTlx7FN&#10;3+uHW/u6eX5J7XdVVUulLi/G+zsQEcf4D8OvPqtDyU5bvyMTRKfgepbdMMpBNgXBwN9iqyBL5yDL&#10;Qp5+UP4AAAD//wMAUEsBAi0AFAAGAAgAAAAhALaDOJL+AAAA4QEAABMAAAAAAAAAAAAAAAAAAAAA&#10;AFtDb250ZW50X1R5cGVzXS54bWxQSwECLQAUAAYACAAAACEAOP0h/9YAAACUAQAACwAAAAAAAAAA&#10;AAAAAAAvAQAAX3JlbHMvLnJlbHNQSwECLQAUAAYACAAAACEAT0KNAjcCAABrBAAADgAAAAAAAAAA&#10;AAAAAAAuAgAAZHJzL2Uyb0RvYy54bWxQSwECLQAUAAYACAAAACEA2gYAvd8AAAAJAQAADwAAAAAA&#10;AAAAAAAAAACRBAAAZHJzL2Rvd25yZXYueG1sUEsFBgAAAAAEAAQA8wAAAJ0FAAAAAA==&#10;">
                <v:stroke endarrow="block"/>
              </v:shape>
            </w:pict>
          </mc:Fallback>
        </mc:AlternateContent>
      </w:r>
    </w:p>
    <w:p w:rsidR="001D2CEA" w:rsidRDefault="001D2CEA" w:rsidP="001D2CEA">
      <w:pPr>
        <w:pStyle w:val="Footer"/>
        <w:spacing w:before="120"/>
        <w:jc w:val="center"/>
      </w:pPr>
    </w:p>
    <w:p w:rsidR="001D2CEA" w:rsidRDefault="001D2CEA" w:rsidP="001D2CEA">
      <w:pPr>
        <w:pStyle w:val="Footer"/>
        <w:spacing w:before="120"/>
        <w:jc w:val="center"/>
      </w:pPr>
      <w:r>
        <w:t>Response Team Leaders</w:t>
      </w:r>
    </w:p>
    <w:p w:rsidR="001D2CEA" w:rsidRDefault="001D2CEA" w:rsidP="001D2CEA">
      <w:pPr>
        <w:pStyle w:val="Footer"/>
        <w:tabs>
          <w:tab w:val="clear" w:pos="4153"/>
          <w:tab w:val="clear" w:pos="8306"/>
        </w:tabs>
        <w:spacing w:before="120"/>
      </w:pPr>
    </w:p>
    <w:p w:rsidR="001D2CEA" w:rsidRDefault="001D2CEA" w:rsidP="001D2CEA">
      <w:pPr>
        <w:pStyle w:val="Header"/>
      </w:pPr>
      <w:r>
        <w:t>RELATION TO OTHER CONTINGENCY PLANS</w:t>
      </w:r>
    </w:p>
    <w:p w:rsidR="001D2CEA" w:rsidRDefault="001D2CEA" w:rsidP="001D2CEA"/>
    <w:tbl>
      <w:tblPr>
        <w:tblW w:w="0" w:type="auto"/>
        <w:tblLook w:val="0000" w:firstRow="0" w:lastRow="0" w:firstColumn="0" w:lastColumn="0" w:noHBand="0" w:noVBand="0"/>
      </w:tblPr>
      <w:tblGrid>
        <w:gridCol w:w="3458"/>
        <w:gridCol w:w="5355"/>
      </w:tblGrid>
      <w:tr w:rsidR="001D2CEA" w:rsidTr="00824B93">
        <w:trPr>
          <w:cantSplit/>
          <w:trHeight w:val="1134"/>
        </w:trPr>
        <w:tc>
          <w:tcPr>
            <w:tcW w:w="8813" w:type="dxa"/>
            <w:gridSpan w:val="2"/>
          </w:tcPr>
          <w:p w:rsidR="001D2CEA" w:rsidRDefault="001D2CEA" w:rsidP="00824B93">
            <w:pPr>
              <w:rPr>
                <w:b/>
                <w:bCs/>
              </w:rPr>
            </w:pPr>
            <w:r>
              <w:rPr>
                <w:b/>
                <w:bCs/>
              </w:rPr>
              <w:t>REPONSE STRATEGY:</w:t>
            </w:r>
          </w:p>
          <w:p w:rsidR="001D2CEA" w:rsidRDefault="001D2CEA" w:rsidP="00824B93">
            <w:pPr>
              <w:rPr>
                <w:b/>
                <w:bCs/>
              </w:rPr>
            </w:pPr>
          </w:p>
          <w:p w:rsidR="001D2CEA" w:rsidRDefault="001D2CEA" w:rsidP="00824B93">
            <w:pPr>
              <w:rPr>
                <w:b/>
                <w:bCs/>
              </w:rPr>
            </w:pPr>
          </w:p>
          <w:p w:rsidR="001D2CEA" w:rsidRDefault="001D2CEA" w:rsidP="00824B93">
            <w:r w:rsidRPr="00264F5A">
              <w:rPr>
                <w:b/>
                <w:bCs/>
              </w:rPr>
              <w:t>Response operations shall take place as close to the source of the spill as possible.  • Mechanical methods have first priority. Chemical methods can be used if NEBA (Net Environment Benefit Analysis) shows that use of dispersants is reducing the overall environmental impact. • Enhanced capabilities for oil recovery from shorelines.</w:t>
            </w:r>
            <w:r>
              <w:t xml:space="preserve"> </w:t>
            </w:r>
            <w:r w:rsidRPr="00264F5A">
              <w:rPr>
                <w:b/>
                <w:bCs/>
              </w:rPr>
              <w:t xml:space="preserve">There are five main strategies that are currently used to clean up oil spills in water. In many spill situations spill responders employ more than one strategy in different locations or in different phases of the </w:t>
            </w:r>
            <w:proofErr w:type="spellStart"/>
            <w:r w:rsidRPr="00264F5A">
              <w:rPr>
                <w:b/>
                <w:bCs/>
              </w:rPr>
              <w:t>cleanup</w:t>
            </w:r>
            <w:proofErr w:type="spellEnd"/>
            <w:r w:rsidRPr="00264F5A">
              <w:rPr>
                <w:b/>
                <w:bCs/>
              </w:rPr>
              <w:t xml:space="preserve"> operation. Selection oil spill response strategies depend on several factors. Therefore, response strategies should be selected after evaluation of all these factors. Details of strategy for oil spill combat operations are given in annex</w:t>
            </w:r>
            <w:r>
              <w:rPr>
                <w:b/>
                <w:bCs/>
              </w:rPr>
              <w:t xml:space="preserve"> vii of the NOSCOP</w:t>
            </w:r>
          </w:p>
        </w:tc>
      </w:tr>
      <w:tr w:rsidR="001D2CEA" w:rsidTr="00824B93">
        <w:trPr>
          <w:cantSplit/>
        </w:trPr>
        <w:tc>
          <w:tcPr>
            <w:tcW w:w="3458" w:type="dxa"/>
          </w:tcPr>
          <w:p w:rsidR="001D2CEA" w:rsidRDefault="001D2CEA" w:rsidP="00824B93">
            <w:pPr>
              <w:rPr>
                <w:b/>
                <w:bCs/>
              </w:rPr>
            </w:pPr>
          </w:p>
        </w:tc>
        <w:tc>
          <w:tcPr>
            <w:tcW w:w="5355" w:type="dxa"/>
          </w:tcPr>
          <w:p w:rsidR="001D2CEA" w:rsidRDefault="001D2CEA" w:rsidP="00824B93"/>
        </w:tc>
      </w:tr>
      <w:tr w:rsidR="001D2CEA" w:rsidTr="00824B93">
        <w:trPr>
          <w:cantSplit/>
          <w:trHeight w:val="1134"/>
        </w:trPr>
        <w:tc>
          <w:tcPr>
            <w:tcW w:w="8813" w:type="dxa"/>
            <w:gridSpan w:val="2"/>
          </w:tcPr>
          <w:p w:rsidR="001D2CEA" w:rsidRDefault="001D2CEA" w:rsidP="00824B93">
            <w:r>
              <w:rPr>
                <w:b/>
                <w:bCs/>
              </w:rPr>
              <w:t>USE OF DISPERSANTS (Policy): Dispersant can be used after carrying out NEBA, the comprehensive dispersant usage policy will be introduced shortly</w:t>
            </w:r>
          </w:p>
        </w:tc>
      </w:tr>
      <w:tr w:rsidR="001D2CEA" w:rsidTr="00824B93">
        <w:trPr>
          <w:cantSplit/>
        </w:trPr>
        <w:tc>
          <w:tcPr>
            <w:tcW w:w="3458" w:type="dxa"/>
          </w:tcPr>
          <w:p w:rsidR="001D2CEA" w:rsidRDefault="001D2CEA" w:rsidP="00824B93">
            <w:pPr>
              <w:rPr>
                <w:b/>
                <w:bCs/>
              </w:rPr>
            </w:pPr>
          </w:p>
        </w:tc>
        <w:tc>
          <w:tcPr>
            <w:tcW w:w="5355" w:type="dxa"/>
          </w:tcPr>
          <w:p w:rsidR="001D2CEA" w:rsidRDefault="001D2CEA" w:rsidP="00824B93"/>
        </w:tc>
      </w:tr>
      <w:tr w:rsidR="001D2CEA" w:rsidTr="00824B93">
        <w:trPr>
          <w:cantSplit/>
          <w:trHeight w:val="1134"/>
        </w:trPr>
        <w:tc>
          <w:tcPr>
            <w:tcW w:w="8813" w:type="dxa"/>
            <w:gridSpan w:val="2"/>
          </w:tcPr>
          <w:p w:rsidR="001D2CEA" w:rsidRDefault="001D2CEA" w:rsidP="00824B93">
            <w:pPr>
              <w:rPr>
                <w:b/>
                <w:bCs/>
              </w:rPr>
            </w:pPr>
            <w:r>
              <w:rPr>
                <w:b/>
                <w:bCs/>
              </w:rPr>
              <w:t>SENSITIVE AREAS:</w:t>
            </w:r>
          </w:p>
          <w:p w:rsidR="001D2CEA" w:rsidRDefault="001D2CEA" w:rsidP="00824B93">
            <w:pPr>
              <w:rPr>
                <w:b/>
                <w:bCs/>
              </w:rPr>
            </w:pPr>
          </w:p>
          <w:p w:rsidR="001D2CEA" w:rsidRDefault="001D2CEA" w:rsidP="00824B93">
            <w:r>
              <w:rPr>
                <w:b/>
                <w:bCs/>
              </w:rPr>
              <w:t xml:space="preserve">Sensitive areas has been identified and map of sensitive areas has been </w:t>
            </w:r>
            <w:proofErr w:type="spellStart"/>
            <w:r>
              <w:rPr>
                <w:b/>
                <w:bCs/>
              </w:rPr>
              <w:t>incoprated</w:t>
            </w:r>
            <w:proofErr w:type="spellEnd"/>
            <w:r>
              <w:rPr>
                <w:b/>
                <w:bCs/>
              </w:rPr>
              <w:t xml:space="preserve"> to NOSCOP. Sensitive environment index 1- 10 has formulated to </w:t>
            </w:r>
            <w:proofErr w:type="spellStart"/>
            <w:r>
              <w:rPr>
                <w:b/>
                <w:bCs/>
              </w:rPr>
              <w:t>prioraties</w:t>
            </w:r>
            <w:proofErr w:type="spellEnd"/>
            <w:r>
              <w:rPr>
                <w:b/>
                <w:bCs/>
              </w:rPr>
              <w:t xml:space="preserve"> environment sensitive areas.</w:t>
            </w:r>
          </w:p>
        </w:tc>
      </w:tr>
    </w:tbl>
    <w:p w:rsidR="001D2CEA" w:rsidRDefault="001D2CEA" w:rsidP="001D2CEA"/>
    <w:p w:rsidR="001D2CEA" w:rsidRDefault="001D2CEA" w:rsidP="001D2CEA">
      <w:pPr>
        <w:jc w:val="center"/>
        <w:rPr>
          <w:b/>
          <w:bCs/>
          <w:sz w:val="40"/>
        </w:rPr>
      </w:pPr>
    </w:p>
    <w:p w:rsidR="001D2CEA" w:rsidRDefault="001D2CEA" w:rsidP="001D2CEA">
      <w:pPr>
        <w:jc w:val="center"/>
        <w:rPr>
          <w:b/>
          <w:bCs/>
          <w:sz w:val="40"/>
        </w:rPr>
      </w:pPr>
    </w:p>
    <w:p w:rsidR="001D2CEA" w:rsidRDefault="001D2CEA" w:rsidP="001D2CEA">
      <w:pPr>
        <w:jc w:val="center"/>
        <w:rPr>
          <w:b/>
          <w:bCs/>
          <w:sz w:val="40"/>
        </w:rPr>
      </w:pPr>
    </w:p>
    <w:p w:rsidR="001D2CEA" w:rsidRDefault="001D2CEA" w:rsidP="001D2CEA">
      <w:pPr>
        <w:jc w:val="center"/>
        <w:rPr>
          <w:b/>
          <w:bCs/>
          <w:sz w:val="40"/>
        </w:rPr>
      </w:pPr>
    </w:p>
    <w:p w:rsidR="00406D0A" w:rsidRPr="00283B82" w:rsidRDefault="00406D0A" w:rsidP="00283B82">
      <w:pPr>
        <w:rPr>
          <w:b/>
          <w:bCs/>
          <w:sz w:val="40"/>
        </w:rPr>
      </w:pPr>
    </w:p>
    <w:sectPr w:rsidR="00406D0A" w:rsidRPr="00283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58"/>
    <w:rsid w:val="001D2CEA"/>
    <w:rsid w:val="00283B82"/>
    <w:rsid w:val="00406D0A"/>
    <w:rsid w:val="008E7F58"/>
    <w:rsid w:val="00A93983"/>
    <w:rsid w:val="00DC761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58"/>
    <w:pPr>
      <w:spacing w:after="0" w:line="240" w:lineRule="auto"/>
    </w:pPr>
    <w:rPr>
      <w:rFonts w:ascii="Times New Roman" w:eastAsia="Times New Roman" w:hAnsi="Times New Roman" w:cs="Times New Roman"/>
      <w:sz w:val="23"/>
      <w:szCs w:val="20"/>
      <w:lang w:val="en-GB"/>
    </w:rPr>
  </w:style>
  <w:style w:type="paragraph" w:styleId="Heading1">
    <w:name w:val="heading 1"/>
    <w:basedOn w:val="Normal"/>
    <w:next w:val="Normal"/>
    <w:link w:val="Heading1Char"/>
    <w:qFormat/>
    <w:rsid w:val="008E7F58"/>
    <w:pPr>
      <w:keepNext/>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F58"/>
    <w:rPr>
      <w:rFonts w:ascii="Times New Roman" w:eastAsia="Times New Roman" w:hAnsi="Times New Roman" w:cs="Times New Roman"/>
      <w:b/>
      <w:caps/>
      <w:sz w:val="23"/>
      <w:szCs w:val="20"/>
      <w:lang w:val="en-GB"/>
    </w:rPr>
  </w:style>
  <w:style w:type="paragraph" w:styleId="Footer">
    <w:name w:val="footer"/>
    <w:basedOn w:val="Normal"/>
    <w:link w:val="FooterChar"/>
    <w:uiPriority w:val="99"/>
    <w:rsid w:val="008E7F58"/>
    <w:pPr>
      <w:tabs>
        <w:tab w:val="center" w:pos="4153"/>
        <w:tab w:val="right" w:pos="8306"/>
      </w:tabs>
    </w:pPr>
  </w:style>
  <w:style w:type="character" w:customStyle="1" w:styleId="FooterChar">
    <w:name w:val="Footer Char"/>
    <w:basedOn w:val="DefaultParagraphFont"/>
    <w:link w:val="Footer"/>
    <w:uiPriority w:val="99"/>
    <w:rsid w:val="008E7F58"/>
    <w:rPr>
      <w:rFonts w:ascii="Times New Roman" w:eastAsia="Times New Roman" w:hAnsi="Times New Roman" w:cs="Times New Roman"/>
      <w:sz w:val="23"/>
      <w:szCs w:val="20"/>
      <w:lang w:val="en-GB"/>
    </w:rPr>
  </w:style>
  <w:style w:type="paragraph" w:styleId="Header">
    <w:name w:val="header"/>
    <w:basedOn w:val="Normal"/>
    <w:link w:val="HeaderChar"/>
    <w:semiHidden/>
    <w:rsid w:val="008E7F58"/>
    <w:pPr>
      <w:keepNext/>
      <w:spacing w:before="460"/>
      <w:ind w:left="709" w:hanging="709"/>
    </w:pPr>
    <w:rPr>
      <w:b/>
    </w:rPr>
  </w:style>
  <w:style w:type="character" w:customStyle="1" w:styleId="HeaderChar">
    <w:name w:val="Header Char"/>
    <w:basedOn w:val="DefaultParagraphFont"/>
    <w:link w:val="Header"/>
    <w:semiHidden/>
    <w:rsid w:val="008E7F58"/>
    <w:rPr>
      <w:rFonts w:ascii="Times New Roman" w:eastAsia="Times New Roman" w:hAnsi="Times New Roman" w:cs="Times New Roman"/>
      <w:b/>
      <w:sz w:val="23"/>
      <w:szCs w:val="20"/>
      <w:lang w:val="en-GB"/>
    </w:rPr>
  </w:style>
  <w:style w:type="paragraph" w:customStyle="1" w:styleId="Nicetitle">
    <w:name w:val="Nice title"/>
    <w:basedOn w:val="Header"/>
    <w:rsid w:val="008E7F58"/>
    <w:pPr>
      <w:spacing w:after="120"/>
    </w:pPr>
    <w:rPr>
      <w:sz w:val="36"/>
    </w:rPr>
  </w:style>
  <w:style w:type="character" w:styleId="Hyperlink">
    <w:name w:val="Hyperlink"/>
    <w:uiPriority w:val="99"/>
    <w:unhideWhenUsed/>
    <w:rsid w:val="008E7F58"/>
    <w:rPr>
      <w:color w:val="0000FF"/>
      <w:u w:val="single"/>
    </w:rPr>
  </w:style>
  <w:style w:type="character" w:styleId="Strong">
    <w:name w:val="Strong"/>
    <w:uiPriority w:val="22"/>
    <w:qFormat/>
    <w:rsid w:val="008E7F58"/>
    <w:rPr>
      <w:b/>
      <w:bCs/>
    </w:rPr>
  </w:style>
  <w:style w:type="paragraph" w:styleId="BalloonText">
    <w:name w:val="Balloon Text"/>
    <w:basedOn w:val="Normal"/>
    <w:link w:val="BalloonTextChar"/>
    <w:uiPriority w:val="99"/>
    <w:semiHidden/>
    <w:unhideWhenUsed/>
    <w:rsid w:val="00283B82"/>
    <w:rPr>
      <w:rFonts w:ascii="Tahoma" w:hAnsi="Tahoma" w:cs="Tahoma"/>
      <w:sz w:val="16"/>
      <w:szCs w:val="16"/>
    </w:rPr>
  </w:style>
  <w:style w:type="character" w:customStyle="1" w:styleId="BalloonTextChar">
    <w:name w:val="Balloon Text Char"/>
    <w:basedOn w:val="DefaultParagraphFont"/>
    <w:link w:val="BalloonText"/>
    <w:uiPriority w:val="99"/>
    <w:semiHidden/>
    <w:rsid w:val="00283B82"/>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58"/>
    <w:pPr>
      <w:spacing w:after="0" w:line="240" w:lineRule="auto"/>
    </w:pPr>
    <w:rPr>
      <w:rFonts w:ascii="Times New Roman" w:eastAsia="Times New Roman" w:hAnsi="Times New Roman" w:cs="Times New Roman"/>
      <w:sz w:val="23"/>
      <w:szCs w:val="20"/>
      <w:lang w:val="en-GB"/>
    </w:rPr>
  </w:style>
  <w:style w:type="paragraph" w:styleId="Heading1">
    <w:name w:val="heading 1"/>
    <w:basedOn w:val="Normal"/>
    <w:next w:val="Normal"/>
    <w:link w:val="Heading1Char"/>
    <w:qFormat/>
    <w:rsid w:val="008E7F58"/>
    <w:pPr>
      <w:keepNext/>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F58"/>
    <w:rPr>
      <w:rFonts w:ascii="Times New Roman" w:eastAsia="Times New Roman" w:hAnsi="Times New Roman" w:cs="Times New Roman"/>
      <w:b/>
      <w:caps/>
      <w:sz w:val="23"/>
      <w:szCs w:val="20"/>
      <w:lang w:val="en-GB"/>
    </w:rPr>
  </w:style>
  <w:style w:type="paragraph" w:styleId="Footer">
    <w:name w:val="footer"/>
    <w:basedOn w:val="Normal"/>
    <w:link w:val="FooterChar"/>
    <w:uiPriority w:val="99"/>
    <w:rsid w:val="008E7F58"/>
    <w:pPr>
      <w:tabs>
        <w:tab w:val="center" w:pos="4153"/>
        <w:tab w:val="right" w:pos="8306"/>
      </w:tabs>
    </w:pPr>
  </w:style>
  <w:style w:type="character" w:customStyle="1" w:styleId="FooterChar">
    <w:name w:val="Footer Char"/>
    <w:basedOn w:val="DefaultParagraphFont"/>
    <w:link w:val="Footer"/>
    <w:uiPriority w:val="99"/>
    <w:rsid w:val="008E7F58"/>
    <w:rPr>
      <w:rFonts w:ascii="Times New Roman" w:eastAsia="Times New Roman" w:hAnsi="Times New Roman" w:cs="Times New Roman"/>
      <w:sz w:val="23"/>
      <w:szCs w:val="20"/>
      <w:lang w:val="en-GB"/>
    </w:rPr>
  </w:style>
  <w:style w:type="paragraph" w:styleId="Header">
    <w:name w:val="header"/>
    <w:basedOn w:val="Normal"/>
    <w:link w:val="HeaderChar"/>
    <w:semiHidden/>
    <w:rsid w:val="008E7F58"/>
    <w:pPr>
      <w:keepNext/>
      <w:spacing w:before="460"/>
      <w:ind w:left="709" w:hanging="709"/>
    </w:pPr>
    <w:rPr>
      <w:b/>
    </w:rPr>
  </w:style>
  <w:style w:type="character" w:customStyle="1" w:styleId="HeaderChar">
    <w:name w:val="Header Char"/>
    <w:basedOn w:val="DefaultParagraphFont"/>
    <w:link w:val="Header"/>
    <w:semiHidden/>
    <w:rsid w:val="008E7F58"/>
    <w:rPr>
      <w:rFonts w:ascii="Times New Roman" w:eastAsia="Times New Roman" w:hAnsi="Times New Roman" w:cs="Times New Roman"/>
      <w:b/>
      <w:sz w:val="23"/>
      <w:szCs w:val="20"/>
      <w:lang w:val="en-GB"/>
    </w:rPr>
  </w:style>
  <w:style w:type="paragraph" w:customStyle="1" w:styleId="Nicetitle">
    <w:name w:val="Nice title"/>
    <w:basedOn w:val="Header"/>
    <w:rsid w:val="008E7F58"/>
    <w:pPr>
      <w:spacing w:after="120"/>
    </w:pPr>
    <w:rPr>
      <w:sz w:val="36"/>
    </w:rPr>
  </w:style>
  <w:style w:type="character" w:styleId="Hyperlink">
    <w:name w:val="Hyperlink"/>
    <w:uiPriority w:val="99"/>
    <w:unhideWhenUsed/>
    <w:rsid w:val="008E7F58"/>
    <w:rPr>
      <w:color w:val="0000FF"/>
      <w:u w:val="single"/>
    </w:rPr>
  </w:style>
  <w:style w:type="character" w:styleId="Strong">
    <w:name w:val="Strong"/>
    <w:uiPriority w:val="22"/>
    <w:qFormat/>
    <w:rsid w:val="008E7F58"/>
    <w:rPr>
      <w:b/>
      <w:bCs/>
    </w:rPr>
  </w:style>
  <w:style w:type="paragraph" w:styleId="BalloonText">
    <w:name w:val="Balloon Text"/>
    <w:basedOn w:val="Normal"/>
    <w:link w:val="BalloonTextChar"/>
    <w:uiPriority w:val="99"/>
    <w:semiHidden/>
    <w:unhideWhenUsed/>
    <w:rsid w:val="00283B82"/>
    <w:rPr>
      <w:rFonts w:ascii="Tahoma" w:hAnsi="Tahoma" w:cs="Tahoma"/>
      <w:sz w:val="16"/>
      <w:szCs w:val="16"/>
    </w:rPr>
  </w:style>
  <w:style w:type="character" w:customStyle="1" w:styleId="BalloonTextChar">
    <w:name w:val="Balloon Text Char"/>
    <w:basedOn w:val="DefaultParagraphFont"/>
    <w:link w:val="BalloonText"/>
    <w:uiPriority w:val="99"/>
    <w:semiHidden/>
    <w:rsid w:val="00283B8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SPO-R-SASP</dc:creator>
  <cp:lastModifiedBy>Makaranda</cp:lastModifiedBy>
  <cp:revision>6</cp:revision>
  <cp:lastPrinted>2016-06-13T05:25:00Z</cp:lastPrinted>
  <dcterms:created xsi:type="dcterms:W3CDTF">2016-03-28T04:16:00Z</dcterms:created>
  <dcterms:modified xsi:type="dcterms:W3CDTF">2016-06-13T05:25:00Z</dcterms:modified>
</cp:coreProperties>
</file>